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DE" w:rsidRDefault="001B44E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Směrnice Obce Nový Jáchymov č. </w:t>
      </w:r>
      <w:r w:rsidR="003D1D2D">
        <w:rPr>
          <w:b/>
          <w:sz w:val="36"/>
          <w:szCs w:val="36"/>
        </w:rPr>
        <w:t>2/2016</w:t>
      </w:r>
    </w:p>
    <w:p w:rsidR="009F01DE" w:rsidRDefault="001B44E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finanční kontrole </w:t>
      </w:r>
    </w:p>
    <w:p w:rsidR="009F01DE" w:rsidRDefault="001B44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 základě zákona č. 320/2001 Sb., o finanční kontrole</w:t>
      </w:r>
    </w:p>
    <w:p w:rsidR="009F01DE" w:rsidRDefault="009F01DE">
      <w:pPr>
        <w:spacing w:after="0" w:line="240" w:lineRule="auto"/>
        <w:rPr>
          <w:szCs w:val="24"/>
        </w:rPr>
      </w:pPr>
    </w:p>
    <w:p w:rsidR="009F01DE" w:rsidRDefault="009F01DE">
      <w:pPr>
        <w:spacing w:after="0" w:line="240" w:lineRule="auto"/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I. Úvodní ustanovení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>Finanční kontrola je součástí finančního řízení zabezpečujícího hospodaření s veřejnými prostředky, tj. s majetkem i finančními prostředky obce a všech zřízených organizačních složek a příspěvkových organizací.</w:t>
      </w:r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Čl. 1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Legislativní rámec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>Finanční kontrola obce je prováděna v souladu se zákonem č. 320/2001 Sb., o finanční kontrole ve veřejné správě a jeho prováděcími předpisy, zejména vyhláškou č. 416/2004 Sb., kterou se provádí zákon č. 320/2001 Sb., o finanční kontrole; dále v souladu se zákonem č. 250/2000 Sb., o rozpočtových pravidlech územních rozpočtů; zákonem č. 563/1991 Sb., o účetnictví; zákonem č. 552/1991 Sb., o státní kontrole a obecně závaznými vyhláškami obce, které zabezpečují hospodaření s veřejnými prostředky. Kontrola je zaměřena především na hospodárnost, efektivnost a účelovost jejich použití.</w:t>
      </w:r>
    </w:p>
    <w:p w:rsidR="009F01DE" w:rsidRDefault="001B44E2">
      <w:pPr>
        <w:numPr>
          <w:ilvl w:val="0"/>
          <w:numId w:val="6"/>
        </w:numPr>
        <w:spacing w:after="0" w:line="240" w:lineRule="auto"/>
        <w:jc w:val="both"/>
      </w:pPr>
      <w:r>
        <w:rPr>
          <w:b/>
          <w:bCs/>
          <w:szCs w:val="24"/>
        </w:rPr>
        <w:t>Působnost a postavení obce v systému finanční kontroly:</w:t>
      </w:r>
    </w:p>
    <w:p w:rsidR="009F01DE" w:rsidRDefault="001B44E2">
      <w:pPr>
        <w:tabs>
          <w:tab w:val="left" w:pos="739"/>
        </w:tabs>
        <w:spacing w:after="0" w:line="240" w:lineRule="auto"/>
        <w:jc w:val="both"/>
      </w:pPr>
      <w:r>
        <w:rPr>
          <w:szCs w:val="24"/>
        </w:rPr>
        <w:tab/>
        <w:t xml:space="preserve">Působnost a postavení obce v systému finanční kontroly vychází ze zákona o finanční </w:t>
      </w:r>
      <w:r>
        <w:rPr>
          <w:szCs w:val="24"/>
        </w:rPr>
        <w:tab/>
        <w:t>kontrole. Podle tohoto zákona obec je:</w:t>
      </w:r>
    </w:p>
    <w:p w:rsidR="009F01DE" w:rsidRDefault="001B44E2">
      <w:pPr>
        <w:tabs>
          <w:tab w:val="left" w:pos="739"/>
        </w:tabs>
        <w:spacing w:after="0" w:line="240" w:lineRule="auto"/>
        <w:jc w:val="both"/>
      </w:pPr>
      <w:r>
        <w:rPr>
          <w:szCs w:val="24"/>
        </w:rPr>
        <w:tab/>
      </w:r>
      <w:r>
        <w:rPr>
          <w:szCs w:val="24"/>
          <w:u w:val="single"/>
        </w:rPr>
        <w:t xml:space="preserve">Orgánem veřejné správy </w:t>
      </w:r>
      <w:r>
        <w:rPr>
          <w:szCs w:val="24"/>
        </w:rPr>
        <w:t xml:space="preserve">a současně je účetní jednotkou podle § 1, odst. 2 zákona č. </w:t>
      </w:r>
      <w:r>
        <w:rPr>
          <w:szCs w:val="24"/>
        </w:rPr>
        <w:tab/>
        <w:t>563/1991 Sb., o účetnictví ve znění pozdějších předpisů.</w:t>
      </w:r>
    </w:p>
    <w:p w:rsidR="009F01DE" w:rsidRDefault="001B44E2">
      <w:pPr>
        <w:tabs>
          <w:tab w:val="left" w:pos="739"/>
        </w:tabs>
        <w:spacing w:after="0" w:line="240" w:lineRule="auto"/>
        <w:jc w:val="both"/>
      </w:pPr>
      <w:r>
        <w:rPr>
          <w:szCs w:val="24"/>
        </w:rPr>
        <w:tab/>
      </w:r>
      <w:r>
        <w:rPr>
          <w:szCs w:val="24"/>
          <w:u w:val="single"/>
        </w:rPr>
        <w:t>Kontrolovanou osobou,</w:t>
      </w:r>
      <w:r>
        <w:rPr>
          <w:szCs w:val="24"/>
        </w:rPr>
        <w:t xml:space="preserve"> protože hospodaří s veřejnými prostředky a je financována </w:t>
      </w:r>
      <w:r>
        <w:rPr>
          <w:szCs w:val="24"/>
        </w:rPr>
        <w:tab/>
        <w:t>z veřejné finanční podpory.</w:t>
      </w:r>
    </w:p>
    <w:p w:rsidR="009F01DE" w:rsidRDefault="001B44E2">
      <w:pPr>
        <w:tabs>
          <w:tab w:val="left" w:pos="739"/>
        </w:tabs>
        <w:spacing w:after="0" w:line="240" w:lineRule="auto"/>
        <w:jc w:val="both"/>
      </w:pPr>
      <w:r>
        <w:rPr>
          <w:szCs w:val="24"/>
        </w:rPr>
        <w:tab/>
      </w:r>
      <w:r>
        <w:rPr>
          <w:szCs w:val="24"/>
          <w:u w:val="single"/>
        </w:rPr>
        <w:t>Kontrolním orgánem,</w:t>
      </w:r>
      <w:r>
        <w:rPr>
          <w:szCs w:val="24"/>
        </w:rPr>
        <w:t xml:space="preserve"> podle zákona o finanční kontrole je povinna vykonávat vnitřní </w:t>
      </w:r>
      <w:r>
        <w:rPr>
          <w:szCs w:val="24"/>
        </w:rPr>
        <w:tab/>
        <w:t xml:space="preserve">finanční kontrolu v rámci svých řídících a kontrolních pravomocí a veřejnosprávní </w:t>
      </w:r>
      <w:r>
        <w:rPr>
          <w:szCs w:val="24"/>
        </w:rPr>
        <w:tab/>
        <w:t xml:space="preserve">kontrolu žadatelů nebo příjemců veřejné finanční podpory, kterou jim poskytuje. </w:t>
      </w:r>
      <w:r>
        <w:rPr>
          <w:szCs w:val="24"/>
        </w:rPr>
        <w:tab/>
        <w:t xml:space="preserve">Dále podle zákona o finanční kontrole kontroluje hospodaření s veřejnými prostředky </w:t>
      </w:r>
      <w:r>
        <w:rPr>
          <w:szCs w:val="24"/>
        </w:rPr>
        <w:tab/>
        <w:t xml:space="preserve">u zřízené příspěvkové organizace (podle rozpočtových pravidel ÚSC obec provádí </w:t>
      </w:r>
      <w:r>
        <w:rPr>
          <w:szCs w:val="24"/>
        </w:rPr>
        <w:tab/>
        <w:t xml:space="preserve">kontrolu hospodaření řízené příspěvkové organizace).   </w:t>
      </w:r>
    </w:p>
    <w:p w:rsidR="009F01DE" w:rsidRDefault="001B44E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>Vymezení pojmů:</w:t>
      </w:r>
    </w:p>
    <w:p w:rsidR="009F01DE" w:rsidRDefault="001B44E2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  <w:u w:val="single"/>
        </w:rPr>
        <w:t>Veřejné prostředky</w:t>
      </w:r>
      <w:r>
        <w:rPr>
          <w:szCs w:val="24"/>
        </w:rPr>
        <w:t xml:space="preserve"> jsou veřejné finance, věci, majetková práva a jiné hodnoty.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  <w:u w:val="single"/>
        </w:rPr>
        <w:t>Veřejná finanční podpora</w:t>
      </w:r>
      <w:r>
        <w:rPr>
          <w:szCs w:val="24"/>
        </w:rPr>
        <w:t xml:space="preserve"> jsou dotace, granty, příspěvky, návratné finanční výpomoci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ab/>
        <w:t xml:space="preserve">a další prostředky nebo záruky poskytnuté ze státního rozpočtu nebo z rozpočtů ÚSC </w:t>
      </w:r>
      <w:r>
        <w:rPr>
          <w:szCs w:val="24"/>
        </w:rPr>
        <w:tab/>
        <w:t>nebo z rozpočtů státních fondů.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ab/>
      </w:r>
      <w:r>
        <w:rPr>
          <w:szCs w:val="24"/>
          <w:u w:val="single"/>
        </w:rPr>
        <w:t>Příjemce veřejné finanční podpory</w:t>
      </w:r>
      <w:r>
        <w:rPr>
          <w:szCs w:val="24"/>
        </w:rPr>
        <w:t xml:space="preserve"> je obec jako příjemce dotací a přechodných </w:t>
      </w:r>
      <w:r>
        <w:rPr>
          <w:szCs w:val="24"/>
        </w:rPr>
        <w:tab/>
        <w:t xml:space="preserve">výpomocí ze  </w:t>
      </w:r>
      <w:r>
        <w:rPr>
          <w:szCs w:val="24"/>
        </w:rPr>
        <w:tab/>
        <w:t xml:space="preserve">státního rozpočtu nebo z kraje, jí zřízená příspěvková organizace jako </w:t>
      </w:r>
      <w:r>
        <w:rPr>
          <w:szCs w:val="24"/>
        </w:rPr>
        <w:tab/>
        <w:t xml:space="preserve">příjemce neinvestičních a investičních příspěvků na činnost od obce, občanská </w:t>
      </w:r>
      <w:r>
        <w:rPr>
          <w:szCs w:val="24"/>
        </w:rPr>
        <w:tab/>
        <w:t xml:space="preserve">sdružení, neziskové a zájmové organizace a další subjekty, kterým obec poskytla </w:t>
      </w:r>
      <w:r>
        <w:rPr>
          <w:szCs w:val="24"/>
        </w:rPr>
        <w:tab/>
        <w:t>veřejnou finanční podporu.</w:t>
      </w:r>
    </w:p>
    <w:p w:rsidR="009F01DE" w:rsidRDefault="001B44E2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  <w:u w:val="single"/>
        </w:rPr>
        <w:t xml:space="preserve">Osobou povinnou spolupůsobit při výkonu finanční </w:t>
      </w:r>
      <w:r>
        <w:rPr>
          <w:szCs w:val="24"/>
        </w:rPr>
        <w:t xml:space="preserve">kontroly je právnická nebo fyzická </w:t>
      </w:r>
      <w:r>
        <w:rPr>
          <w:szCs w:val="24"/>
        </w:rPr>
        <w:tab/>
        <w:t xml:space="preserve">osoba podílející se na dodávkách zboží nebo služeb hrazených z veřejných výdajů </w:t>
      </w:r>
      <w:r>
        <w:rPr>
          <w:szCs w:val="24"/>
        </w:rPr>
        <w:tab/>
        <w:t xml:space="preserve">nebo z veřejné finanční podpory. 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ab/>
      </w:r>
      <w:r>
        <w:rPr>
          <w:szCs w:val="24"/>
          <w:u w:val="single"/>
        </w:rPr>
        <w:t>Veřejnosprávní kontrola</w:t>
      </w:r>
      <w:r>
        <w:rPr>
          <w:szCs w:val="24"/>
        </w:rPr>
        <w:t xml:space="preserve"> je kontrola prováděna orgánem veřejné správy (obce).</w:t>
      </w:r>
    </w:p>
    <w:p w:rsidR="009F01DE" w:rsidRDefault="001B44E2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ab/>
      </w:r>
    </w:p>
    <w:p w:rsidR="009F01DE" w:rsidRDefault="009F01DE">
      <w:pPr>
        <w:spacing w:after="0" w:line="240" w:lineRule="auto"/>
        <w:jc w:val="both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Čl. 2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Závaznost směrnice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 xml:space="preserve">Podle této směrnice a zásad v ní uvedených postupují pracovníci a členové obecní samosprávy, kteří při výkonu své činnosti ovlivňují stav a pohyb veřejných finančních prostředků a jejichž rozhodnutí mají vliv na hospodaření obce a její rozpočet. Obec provádí veřejnosprávní kontrolu v případě hospodaření s veřejnými prostředky </w:t>
      </w:r>
    </w:p>
    <w:p w:rsidR="009F01DE" w:rsidRDefault="001B44E2">
      <w:pPr>
        <w:numPr>
          <w:ilvl w:val="0"/>
          <w:numId w:val="7"/>
        </w:numPr>
        <w:spacing w:after="0" w:line="240" w:lineRule="auto"/>
        <w:jc w:val="both"/>
      </w:pPr>
      <w:r>
        <w:rPr>
          <w:szCs w:val="24"/>
        </w:rPr>
        <w:t>u své příspěvkové organizace</w:t>
      </w:r>
    </w:p>
    <w:p w:rsidR="009F01DE" w:rsidRDefault="001B44E2">
      <w:pPr>
        <w:numPr>
          <w:ilvl w:val="0"/>
          <w:numId w:val="7"/>
        </w:numPr>
        <w:spacing w:after="0" w:line="240" w:lineRule="auto"/>
        <w:jc w:val="both"/>
      </w:pPr>
      <w:r>
        <w:rPr>
          <w:szCs w:val="24"/>
        </w:rPr>
        <w:t>u příjemců veřejné finanční podpory</w:t>
      </w:r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Čl. 3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Cíle finanční kontroly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>Hlavními cíli finanční kontroly jsou:</w:t>
      </w:r>
    </w:p>
    <w:p w:rsidR="009F01DE" w:rsidRDefault="001B44E2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rPr>
          <w:szCs w:val="24"/>
        </w:rPr>
        <w:t>dodržování právních předpisů a opatření přijatých obcí,</w:t>
      </w:r>
    </w:p>
    <w:p w:rsidR="009F01DE" w:rsidRDefault="001B44E2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rPr>
          <w:szCs w:val="24"/>
        </w:rPr>
        <w:t>zajištění ochrany veřejných prostředků a prostředků z veřejných finančních podpor proti rizikům, nesrovnalostem způsobených zejména porušením právních předpisů, nehospodárným, neúčelným a neefektivním nakládáním s veřejnými prostředky nebo trestnou činností,</w:t>
      </w:r>
    </w:p>
    <w:p w:rsidR="009F01DE" w:rsidRDefault="001B44E2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rPr>
          <w:szCs w:val="24"/>
        </w:rPr>
        <w:t>včasné a spolehlivé informování vedoucích pracovníků obce o nakládání s veřejnými prostředky a o prováděných operacích,</w:t>
      </w:r>
    </w:p>
    <w:p w:rsidR="009F01DE" w:rsidRDefault="001B44E2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rPr>
          <w:szCs w:val="24"/>
        </w:rPr>
        <w:t>hospodárný, efektivní a účelný výkon veřejné správy.</w:t>
      </w:r>
    </w:p>
    <w:p w:rsidR="009F01DE" w:rsidRDefault="009F01DE">
      <w:pPr>
        <w:pStyle w:val="Odstavecseseznamem"/>
        <w:spacing w:after="0" w:line="240" w:lineRule="auto"/>
        <w:ind w:left="0"/>
        <w:jc w:val="both"/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Čl. 4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Předmět směrnice a provádění kontroly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>Směrnice upravuje:</w:t>
      </w:r>
    </w:p>
    <w:p w:rsidR="009F01DE" w:rsidRDefault="001B44E2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rPr>
          <w:szCs w:val="24"/>
        </w:rPr>
        <w:t>Vytvoření vnitřního kontrolního systému, kterým zajistí vnitřní finanční kontrolu svého hospodaření.</w:t>
      </w:r>
    </w:p>
    <w:p w:rsidR="009F01DE" w:rsidRDefault="001B44E2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rPr>
          <w:szCs w:val="24"/>
        </w:rPr>
        <w:t>Kontrolu hospodaření s veřejnými prostředky u příspěvkových organizací zřizovaných obcí zejména vykonáváním veřejnosprávní kontroly,</w:t>
      </w:r>
    </w:p>
    <w:p w:rsidR="009F01DE" w:rsidRDefault="001B44E2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rPr>
          <w:szCs w:val="24"/>
        </w:rPr>
        <w:t xml:space="preserve">Vykonávání veřejnosprávní kontroly u žadatelů a příjemců veřejné finanční podpory, která je jim poskytována z veřejných rozpočtů, tj. z rozpočtu obce. </w:t>
      </w:r>
    </w:p>
    <w:p w:rsidR="009F01DE" w:rsidRDefault="009F01DE">
      <w:pPr>
        <w:pStyle w:val="Odstavecseseznamem"/>
        <w:spacing w:after="0" w:line="240" w:lineRule="auto"/>
        <w:jc w:val="both"/>
        <w:rPr>
          <w:szCs w:val="24"/>
        </w:rPr>
      </w:pPr>
    </w:p>
    <w:p w:rsidR="009F01DE" w:rsidRDefault="001B44E2">
      <w:pPr>
        <w:pStyle w:val="Odstavecseseznamem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Zahrnuje předběžnou, průběžnou a následnou veřejnosprávní kontrolu.</w:t>
      </w: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1B44E2">
      <w:pPr>
        <w:pStyle w:val="Odstavecseseznamem"/>
        <w:spacing w:after="0" w:line="240" w:lineRule="auto"/>
        <w:ind w:left="0"/>
        <w:jc w:val="center"/>
      </w:pPr>
      <w:r>
        <w:rPr>
          <w:b/>
          <w:bCs/>
          <w:szCs w:val="24"/>
        </w:rPr>
        <w:t xml:space="preserve">II. </w:t>
      </w:r>
      <w:r>
        <w:rPr>
          <w:b/>
          <w:szCs w:val="24"/>
        </w:rPr>
        <w:t>Provádění zákona o finanční kontrole</w:t>
      </w:r>
    </w:p>
    <w:p w:rsidR="009F01DE" w:rsidRDefault="009F01DE">
      <w:pPr>
        <w:pStyle w:val="Odstavecseseznamem"/>
        <w:spacing w:after="0" w:line="240" w:lineRule="auto"/>
        <w:ind w:left="0"/>
        <w:jc w:val="center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t>Čl. 5</w:t>
      </w: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t>Obsah a zaměření kontrolní činnosti</w:t>
      </w:r>
    </w:p>
    <w:p w:rsidR="009F01DE" w:rsidRDefault="001B44E2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szCs w:val="24"/>
        </w:rPr>
        <w:t>Kontrola hospodaření podle rozpočtu,</w:t>
      </w:r>
    </w:p>
    <w:p w:rsidR="009F01DE" w:rsidRDefault="001B44E2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szCs w:val="24"/>
        </w:rPr>
        <w:t>kontrola nakládání s majetkem,</w:t>
      </w:r>
    </w:p>
    <w:p w:rsidR="009F01DE" w:rsidRDefault="001B44E2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szCs w:val="24"/>
        </w:rPr>
        <w:t>kontrola rozpočtových opatření.</w:t>
      </w: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b/>
          <w:szCs w:val="24"/>
        </w:rPr>
      </w:pPr>
    </w:p>
    <w:p w:rsidR="009F01DE" w:rsidRDefault="001B44E2">
      <w:pPr>
        <w:pStyle w:val="Odstavecseseznamem"/>
        <w:spacing w:after="0" w:line="240" w:lineRule="auto"/>
        <w:ind w:left="0"/>
        <w:jc w:val="center"/>
      </w:pPr>
      <w:r>
        <w:rPr>
          <w:b/>
          <w:szCs w:val="24"/>
        </w:rPr>
        <w:t>Čl. 6</w:t>
      </w:r>
    </w:p>
    <w:p w:rsidR="009F01DE" w:rsidRDefault="001B44E2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</w:pPr>
      <w:r>
        <w:rPr>
          <w:b/>
          <w:szCs w:val="24"/>
        </w:rPr>
        <w:t>Předběžná kontrola</w:t>
      </w:r>
      <w:r>
        <w:rPr>
          <w:szCs w:val="24"/>
        </w:rPr>
        <w:t xml:space="preserve"> plánovaných a připravovaných operací musí být provedena před vznikem závazku (v první fázi operace)a před uskutečněním výdajů (finanční fáze operace). Příkazce operace v rámci předběžné kontroly je povinen prověřit, zda je operace pro plnění úkolů nezbytná, věcně správná, splňuje kritéria hospodárnosti, efektivnosti a účelnosti, a zda </w:t>
      </w:r>
      <w:r>
        <w:rPr>
          <w:szCs w:val="24"/>
        </w:rPr>
        <w:lastRenderedPageBreak/>
        <w:t>je v souladu s právními předpisy. Příkazce operace dále odpovídá za prověření možných rizik a stanovení případných opatření k jejich odstranění nebo zmírnění. Kontrolní postup příkazce operace končí vydáním písemného souhlasu k uskutečnění operace.</w:t>
      </w:r>
    </w:p>
    <w:p w:rsidR="009F01DE" w:rsidRDefault="001B44E2">
      <w:pPr>
        <w:pStyle w:val="Odstavecseseznamem"/>
        <w:spacing w:after="0" w:line="240" w:lineRule="auto"/>
        <w:ind w:left="0"/>
        <w:jc w:val="both"/>
      </w:pPr>
      <w:r>
        <w:rPr>
          <w:szCs w:val="24"/>
        </w:rPr>
        <w:t>Kontrolu provádí příkazce, zástupce příkazce, správce rozpočtu a hlavní účetní v okamžiku rozhodnutí o uskutečnění hospodářské operace.</w:t>
      </w:r>
    </w:p>
    <w:p w:rsidR="009F01DE" w:rsidRDefault="001B44E2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</w:pPr>
      <w:r>
        <w:rPr>
          <w:b/>
          <w:szCs w:val="24"/>
        </w:rPr>
        <w:t>Průběžná kontrola</w:t>
      </w:r>
      <w:r>
        <w:rPr>
          <w:szCs w:val="24"/>
        </w:rPr>
        <w:t xml:space="preserve"> je zaměřena na probíhající operace a provádí ji příkazce operací, správce rozpočtu a hlavní účetní. Jejím úkolem je zjistit, zda operace probíhají v souladu se stanoveným cílem. Jedná se o průběžné sledování uskutečňovaných operací včetně konečného vypořádání a vyúčtování.</w:t>
      </w:r>
    </w:p>
    <w:p w:rsidR="009F01DE" w:rsidRDefault="001B44E2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</w:pPr>
      <w:r>
        <w:rPr>
          <w:b/>
          <w:bCs/>
          <w:szCs w:val="24"/>
        </w:rPr>
        <w:t xml:space="preserve">Následná kontrola </w:t>
      </w:r>
      <w:r>
        <w:rPr>
          <w:szCs w:val="24"/>
        </w:rPr>
        <w:t>je zpětné ověření zaměřené na konečný výsledek operace nebo následné prověřování vybraných operací (po jejich konečném vypořádání a vyúčtování) po skončení hospodářské operace a provádí ji příkazce operací, správce rozpočtu a hlavní účetní.</w:t>
      </w: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1B44E2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  <w:szCs w:val="24"/>
        </w:rPr>
        <w:t xml:space="preserve">III. Vnitřní kontrolní systém </w:t>
      </w:r>
    </w:p>
    <w:p w:rsidR="009F01DE" w:rsidRDefault="009F01DE">
      <w:pPr>
        <w:spacing w:after="0" w:line="240" w:lineRule="auto"/>
        <w:jc w:val="center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Čl. 7</w:t>
      </w:r>
    </w:p>
    <w:p w:rsidR="009F01DE" w:rsidRDefault="001B44E2">
      <w:pPr>
        <w:numPr>
          <w:ilvl w:val="0"/>
          <w:numId w:val="12"/>
        </w:numPr>
        <w:spacing w:after="0" w:line="240" w:lineRule="auto"/>
        <w:jc w:val="both"/>
      </w:pPr>
      <w:r>
        <w:rPr>
          <w:b/>
          <w:szCs w:val="24"/>
        </w:rPr>
        <w:t>Vnitřní kontrolní systém v obci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>Finanční kontrolu v obci tvoří řídící kontrola, která je zajištěna oddělenými subjekty, a to: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 xml:space="preserve">a) </w:t>
      </w:r>
      <w:r>
        <w:rPr>
          <w:szCs w:val="24"/>
        </w:rPr>
        <w:tab/>
        <w:t>příkazcem operace (starosta) či jeho zástupcem (místostarosta) v době nepřítomnosti</w:t>
      </w:r>
    </w:p>
    <w:p w:rsidR="009F01DE" w:rsidRDefault="001B44E2">
      <w:pPr>
        <w:pStyle w:val="Odstavecseseznamem"/>
        <w:spacing w:after="0" w:line="240" w:lineRule="auto"/>
        <w:ind w:left="0"/>
        <w:jc w:val="both"/>
      </w:pPr>
      <w:r>
        <w:rPr>
          <w:szCs w:val="24"/>
        </w:rPr>
        <w:t>b)</w:t>
      </w:r>
      <w:r>
        <w:rPr>
          <w:szCs w:val="24"/>
        </w:rPr>
        <w:tab/>
        <w:t>hlavní účetní a správcem rozpočtu (pracovník na pozici účetní) operaci vykonávajícím.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>Bez písemného souhlasu alespoň jednoho z nich nemůže být žádná hospodářská operace znamenající výdaj veřejných prostředků zahájena ani prováděna. Jejich podpisy jsou uvedeny v podpisovém vzoru, který je součástí Souboru vnitřních směrnic pro vedení účetnictví obce.</w:t>
      </w:r>
    </w:p>
    <w:p w:rsidR="009F01DE" w:rsidRDefault="009F01DE">
      <w:pPr>
        <w:spacing w:after="0" w:line="240" w:lineRule="auto"/>
        <w:jc w:val="both"/>
        <w:rPr>
          <w:b/>
          <w:szCs w:val="24"/>
        </w:rPr>
      </w:pPr>
    </w:p>
    <w:p w:rsidR="009F01DE" w:rsidRDefault="001B44E2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>
        <w:rPr>
          <w:b/>
          <w:szCs w:val="24"/>
        </w:rPr>
        <w:t>Vnitřní kontrolní systém u příspěvkových organizací</w:t>
      </w:r>
    </w:p>
    <w:p w:rsidR="009F01DE" w:rsidRDefault="001B44E2">
      <w:pPr>
        <w:spacing w:after="0" w:line="240" w:lineRule="auto"/>
        <w:jc w:val="both"/>
      </w:pPr>
      <w:r>
        <w:rPr>
          <w:szCs w:val="24"/>
        </w:rPr>
        <w:t xml:space="preserve">Řídící pracovníci příspěvkových organizací zřizovaných obcí zajistí zavedení řídící kontroly řízené příspěvkové organizace dle této směrnice. </w:t>
      </w:r>
    </w:p>
    <w:p w:rsidR="009F01DE" w:rsidRDefault="009F01DE">
      <w:pPr>
        <w:spacing w:after="0" w:line="240" w:lineRule="auto"/>
        <w:jc w:val="center"/>
        <w:rPr>
          <w:b/>
          <w:szCs w:val="24"/>
        </w:rPr>
      </w:pP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t>Čl. 8</w:t>
      </w: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t>Předběžná, průběžná a následná kontrola v obci</w:t>
      </w:r>
    </w:p>
    <w:p w:rsidR="009F01DE" w:rsidRDefault="009F01DE">
      <w:pPr>
        <w:spacing w:after="0" w:line="240" w:lineRule="auto"/>
        <w:jc w:val="center"/>
        <w:rPr>
          <w:szCs w:val="24"/>
        </w:rPr>
      </w:pPr>
    </w:p>
    <w:p w:rsidR="009F01DE" w:rsidRDefault="001B44E2">
      <w:pPr>
        <w:spacing w:after="0" w:line="240" w:lineRule="auto"/>
      </w:pPr>
      <w:r>
        <w:rPr>
          <w:szCs w:val="24"/>
        </w:rPr>
        <w:t xml:space="preserve">Předběžná, průběžná a následná kontrola v obci je prováděna podle čl. 6 této směrnice. </w:t>
      </w:r>
    </w:p>
    <w:p w:rsidR="009F01DE" w:rsidRDefault="009F01DE">
      <w:pPr>
        <w:pStyle w:val="Odstavecseseznamem"/>
        <w:spacing w:after="0" w:line="240" w:lineRule="auto"/>
        <w:jc w:val="both"/>
        <w:rPr>
          <w:szCs w:val="24"/>
        </w:rPr>
      </w:pPr>
    </w:p>
    <w:p w:rsidR="009F01DE" w:rsidRDefault="009F01DE">
      <w:pPr>
        <w:spacing w:after="0" w:line="240" w:lineRule="auto"/>
        <w:jc w:val="both"/>
        <w:rPr>
          <w:b/>
          <w:szCs w:val="24"/>
        </w:rPr>
      </w:pPr>
    </w:p>
    <w:p w:rsidR="009F01DE" w:rsidRDefault="009F01DE">
      <w:pPr>
        <w:spacing w:after="0" w:line="240" w:lineRule="auto"/>
        <w:jc w:val="both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Čl. 9</w:t>
      </w:r>
    </w:p>
    <w:p w:rsidR="009F01DE" w:rsidRDefault="001B44E2">
      <w:pPr>
        <w:spacing w:after="0" w:line="240" w:lineRule="auto"/>
        <w:ind w:left="720"/>
        <w:jc w:val="center"/>
      </w:pPr>
      <w:r>
        <w:rPr>
          <w:b/>
          <w:bCs/>
          <w:szCs w:val="24"/>
        </w:rPr>
        <w:t>Kontrola hospodaření s veřejnými prostředky u příspěvkových organizací</w:t>
      </w:r>
    </w:p>
    <w:p w:rsidR="009F01DE" w:rsidRDefault="001B44E2">
      <w:pPr>
        <w:pStyle w:val="Odstavecseseznamem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Kontrolu hospodaření s veřejnými prostředky u příspěvkových organizací zřizovaných obcí provádí starosta, účetní, členové finančního (kontrolního) výboru, popř. starostou nebo zastupitelstvem pověřený externí auditor nebo jiný kontrolní pracovník a to formou:</w:t>
      </w:r>
    </w:p>
    <w:p w:rsidR="009F01DE" w:rsidRDefault="001B44E2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rPr>
          <w:b/>
          <w:bCs/>
          <w:szCs w:val="24"/>
        </w:rPr>
        <w:t>Předběžné kontroly</w:t>
      </w:r>
      <w:r>
        <w:rPr>
          <w:szCs w:val="24"/>
        </w:rPr>
        <w:t xml:space="preserve">, kterou se rozumí kontrola podkladů předložených žadateli, k posouzení, zda jsou operace v souladu s právními předpisy, schváleným finančním plánem, programy, projekty, uzavřenými smlouvami či jiným rozhodnutím o nakládání s veřejnými prostředky a to </w:t>
      </w:r>
      <w:r>
        <w:rPr>
          <w:b/>
          <w:bCs/>
          <w:szCs w:val="24"/>
        </w:rPr>
        <w:t>před schválením rozpočtu</w:t>
      </w:r>
    </w:p>
    <w:p w:rsidR="009F01DE" w:rsidRDefault="001B44E2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rPr>
          <w:b/>
          <w:bCs/>
          <w:szCs w:val="24"/>
        </w:rPr>
        <w:t>Průběžné kontroly</w:t>
      </w:r>
      <w:r>
        <w:rPr>
          <w:szCs w:val="24"/>
        </w:rPr>
        <w:t>, kterou prověřují kontrolní orgány průběžně dodržování stanovených podmínek, vypořádávání a vyúčtování schválených operací.</w:t>
      </w:r>
    </w:p>
    <w:p w:rsidR="009F01DE" w:rsidRDefault="001B44E2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rPr>
          <w:b/>
          <w:bCs/>
          <w:szCs w:val="24"/>
        </w:rPr>
        <w:lastRenderedPageBreak/>
        <w:t>Následné kontroly</w:t>
      </w:r>
      <w:r>
        <w:rPr>
          <w:szCs w:val="24"/>
        </w:rPr>
        <w:t xml:space="preserve"> na místě po účetní uzávěrce, jejíž provádění se řídí procesními pravidly, uvedenými v </w:t>
      </w:r>
      <w:r>
        <w:rPr>
          <w:rFonts w:cs="Times New Roman"/>
          <w:szCs w:val="24"/>
        </w:rPr>
        <w:t>§</w:t>
      </w:r>
      <w:r>
        <w:rPr>
          <w:szCs w:val="24"/>
        </w:rPr>
        <w:t xml:space="preserve"> 13 zákona o finanční kontrole. Pro její provedení je nezbytné pověření podepsané vedoucím orgánem veřejné správy a vyhotovený protokol z kontroly. Náplň této kontroly je obdobná, jako u následné veřejnosprávní kontroly. Kontrolní akce prověřuje také, zda má účetní jednotka zavedený kontrolní systém, jeho přiměřenost a účinnosti.</w:t>
      </w: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</w:pPr>
      <w:r>
        <w:rPr>
          <w:b/>
          <w:bCs/>
          <w:szCs w:val="24"/>
        </w:rPr>
        <w:t>Veřejnosprávní kontrola u žadatelů a příjemců dotace, příspěvků, návratné finanční výpomoci</w:t>
      </w:r>
    </w:p>
    <w:p w:rsidR="009F01DE" w:rsidRDefault="001B44E2">
      <w:pPr>
        <w:spacing w:after="0" w:line="240" w:lineRule="auto"/>
      </w:pPr>
      <w:r>
        <w:rPr>
          <w:szCs w:val="24"/>
        </w:rPr>
        <w:t>Veřejnosprávní kontrola u žadatelů a příjemců dotace, příspěvků a návratné finanční výpomoci provádí starosta, účetní, členové finančního (kontrolního) výboru, popř. starostou nebo zastupitelstvem pověřený externí auditor nebo jiný kontrolní pracovník a to formou:</w:t>
      </w:r>
    </w:p>
    <w:p w:rsidR="009F01DE" w:rsidRDefault="001B44E2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b/>
          <w:bCs/>
          <w:szCs w:val="24"/>
        </w:rPr>
        <w:t>Předběžné kontroly</w:t>
      </w:r>
      <w:r>
        <w:rPr>
          <w:szCs w:val="24"/>
        </w:rPr>
        <w:t xml:space="preserve"> podkladů předložených žadateli, posouzení, zda jsou v souladu s právními předpisy, schválenými rozpočty, uzavřenými smlouvami a odsouhlasené zastupitelstvem obce.</w:t>
      </w:r>
    </w:p>
    <w:p w:rsidR="009F01DE" w:rsidRDefault="001B44E2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b/>
          <w:bCs/>
          <w:szCs w:val="24"/>
        </w:rPr>
        <w:t>Průběžné kontroly</w:t>
      </w:r>
      <w:r>
        <w:rPr>
          <w:szCs w:val="24"/>
        </w:rPr>
        <w:t>, kterou je kontrolováno dodržování stanovených podmínek, vypořádávání a vyúčtování schválených operací.</w:t>
      </w:r>
    </w:p>
    <w:p w:rsidR="009F01DE" w:rsidRDefault="001B44E2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rPr>
          <w:b/>
          <w:bCs/>
          <w:szCs w:val="24"/>
        </w:rPr>
        <w:t>Následné kontroly</w:t>
      </w:r>
      <w:r>
        <w:rPr>
          <w:szCs w:val="24"/>
        </w:rPr>
        <w:t>, kterou kontrolní orgán prověřuje, zda údaje o hospodaření s veřejnými prostředky odpovídají skutečnostem, zda přezkoumávané operace jsou v souladu s právními předpisy, schválenými rozpočty, programy, projekty, uzavřenými smlouvami, rozhodnutími přijatých v rámci řízení.</w:t>
      </w:r>
    </w:p>
    <w:p w:rsidR="009F01DE" w:rsidRDefault="009F01DE">
      <w:pPr>
        <w:spacing w:after="0" w:line="240" w:lineRule="auto"/>
        <w:jc w:val="center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t>Čl. 10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Zajištění finanční kontroly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 zajištění výkonu vnitřního kontrolního systému obec vydává následující předpisy: </w:t>
      </w:r>
    </w:p>
    <w:p w:rsidR="009F01DE" w:rsidRDefault="001B44E2">
      <w:pPr>
        <w:pStyle w:val="Odstavecseseznamem"/>
        <w:numPr>
          <w:ilvl w:val="0"/>
          <w:numId w:val="5"/>
        </w:numPr>
        <w:spacing w:after="0" w:line="240" w:lineRule="auto"/>
        <w:ind w:hanging="720"/>
        <w:jc w:val="both"/>
      </w:pPr>
      <w:r>
        <w:rPr>
          <w:szCs w:val="24"/>
        </w:rPr>
        <w:t>Organizační řád.</w:t>
      </w:r>
    </w:p>
    <w:p w:rsidR="009F01DE" w:rsidRDefault="001B44E2">
      <w:pPr>
        <w:pStyle w:val="Odstavecseseznamem"/>
        <w:numPr>
          <w:ilvl w:val="0"/>
          <w:numId w:val="5"/>
        </w:numPr>
        <w:spacing w:after="0" w:line="240" w:lineRule="auto"/>
        <w:ind w:hanging="720"/>
        <w:jc w:val="both"/>
      </w:pPr>
      <w:r>
        <w:rPr>
          <w:color w:val="000000"/>
          <w:szCs w:val="24"/>
        </w:rPr>
        <w:t xml:space="preserve">Soubor vnitřních směrnic pro vedení účetnictví obce, jehož součástí jsou podpisové vzory osob oprávněných k hospodaření s veřejnými prostředky obce. </w:t>
      </w:r>
    </w:p>
    <w:p w:rsidR="009F01DE" w:rsidRDefault="001B44E2">
      <w:pPr>
        <w:pStyle w:val="Odstavecseseznamem"/>
        <w:numPr>
          <w:ilvl w:val="0"/>
          <w:numId w:val="5"/>
        </w:numPr>
        <w:spacing w:after="0" w:line="240" w:lineRule="auto"/>
        <w:ind w:hanging="720"/>
        <w:jc w:val="both"/>
      </w:pPr>
      <w:r>
        <w:rPr>
          <w:color w:val="000000"/>
          <w:szCs w:val="24"/>
        </w:rPr>
        <w:t>Další potřebné směrnice a vyhlášky.</w:t>
      </w: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9F01DE">
      <w:pPr>
        <w:pStyle w:val="Odstavecseseznamem"/>
        <w:spacing w:after="0" w:line="240" w:lineRule="auto"/>
        <w:ind w:left="0"/>
        <w:jc w:val="both"/>
        <w:rPr>
          <w:szCs w:val="24"/>
        </w:rPr>
      </w:pP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t>Čl. 11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Záznamy z řídících finančních kontrol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>Pracovníci pověření výkonem řídící kontroly jsou mimo běžné operace seznamováni a provádějí schvalovací postupy u:</w:t>
      </w:r>
    </w:p>
    <w:p w:rsidR="009F01DE" w:rsidRDefault="001B44E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investičních akcí obce,</w:t>
      </w:r>
    </w:p>
    <w:p w:rsidR="009F01DE" w:rsidRDefault="001B44E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poskytovaných příspěvků,</w:t>
      </w:r>
    </w:p>
    <w:p w:rsidR="009F01DE" w:rsidRDefault="001B44E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</w:pPr>
      <w:r>
        <w:rPr>
          <w:szCs w:val="24"/>
        </w:rPr>
        <w:t xml:space="preserve">předkládání zpráv o hospodaření a plnění rozpočtu zastupitelstvu obce </w:t>
      </w:r>
      <w:r>
        <w:rPr>
          <w:color w:val="000000"/>
          <w:szCs w:val="24"/>
        </w:rPr>
        <w:t>dvakrát za</w:t>
      </w:r>
    </w:p>
    <w:p w:rsidR="009F01DE" w:rsidRDefault="001B44E2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  <w:r>
        <w:rPr>
          <w:color w:val="000000"/>
          <w:szCs w:val="24"/>
        </w:rPr>
        <w:t>rok</w:t>
      </w:r>
    </w:p>
    <w:p w:rsidR="009F01DE" w:rsidRDefault="001B44E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inventarizačního zápisu o provedené inventarizaci hospodářských prostředků ve</w:t>
      </w:r>
    </w:p>
    <w:p w:rsidR="009F01DE" w:rsidRDefault="001B44E2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  <w:r>
        <w:rPr>
          <w:szCs w:val="24"/>
        </w:rPr>
        <w:t>vlastnictví obce.</w:t>
      </w:r>
    </w:p>
    <w:p w:rsidR="009F01DE" w:rsidRDefault="009F01DE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9F01DE" w:rsidRDefault="009F01DE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3D1D2D" w:rsidRDefault="003D1D2D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3D1D2D" w:rsidRDefault="003D1D2D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3D1D2D" w:rsidRDefault="003D1D2D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3D1D2D" w:rsidRDefault="003D1D2D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9F01DE" w:rsidRDefault="009F01DE">
      <w:pPr>
        <w:pStyle w:val="Odstavecseseznamem"/>
        <w:spacing w:after="0" w:line="240" w:lineRule="auto"/>
        <w:ind w:left="0" w:firstLine="708"/>
        <w:jc w:val="both"/>
        <w:rPr>
          <w:szCs w:val="24"/>
        </w:rPr>
      </w:pPr>
    </w:p>
    <w:p w:rsidR="009F01DE" w:rsidRDefault="001B44E2">
      <w:pPr>
        <w:spacing w:after="0" w:line="240" w:lineRule="auto"/>
        <w:jc w:val="center"/>
      </w:pPr>
      <w:r>
        <w:rPr>
          <w:b/>
          <w:szCs w:val="24"/>
        </w:rPr>
        <w:lastRenderedPageBreak/>
        <w:t>Čl. 12</w:t>
      </w: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Zpráva o výsledcích finančních kontrol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bookmarkStart w:id="1" w:name="__DdeLink__629_1322197529"/>
      <w:bookmarkEnd w:id="1"/>
      <w:r>
        <w:rPr>
          <w:szCs w:val="24"/>
        </w:rPr>
        <w:t>Zpráva o výsledku finančních kontrol musí být předložena starostou v rozsahu a struktuře stanovené vyhláškou č. 416/2004 Sb. v písemné podobě Krajskému úřadu do 15. února následujícího roku.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>Zpráva o výsledku finančních kontrol musí být předložena předsedou finančního (kontrolního) výboru na následujícím zasedání zastupitelstva obce.</w:t>
      </w:r>
    </w:p>
    <w:p w:rsidR="009F01DE" w:rsidRDefault="009F01DE">
      <w:pPr>
        <w:spacing w:after="0" w:line="240" w:lineRule="auto"/>
        <w:jc w:val="center"/>
        <w:rPr>
          <w:b/>
          <w:szCs w:val="24"/>
        </w:rPr>
      </w:pPr>
    </w:p>
    <w:p w:rsidR="009F01DE" w:rsidRDefault="009F01DE">
      <w:pPr>
        <w:spacing w:after="0" w:line="240" w:lineRule="auto"/>
        <w:jc w:val="center"/>
        <w:rPr>
          <w:b/>
          <w:szCs w:val="24"/>
        </w:rPr>
      </w:pPr>
    </w:p>
    <w:p w:rsidR="009F01DE" w:rsidRDefault="001B44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III. Závěrečná ustanovení</w:t>
      </w:r>
    </w:p>
    <w:p w:rsidR="009F01DE" w:rsidRDefault="001B44E2">
      <w:pPr>
        <w:pStyle w:val="Odstavecseseznamem"/>
        <w:numPr>
          <w:ilvl w:val="0"/>
          <w:numId w:val="4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Tato směrnice je součástí vnitřního organizačního a kontrolního systému obce,</w:t>
      </w:r>
    </w:p>
    <w:p w:rsidR="009F01DE" w:rsidRDefault="001B44E2">
      <w:pPr>
        <w:pStyle w:val="Odstavecseseznamem"/>
        <w:numPr>
          <w:ilvl w:val="0"/>
          <w:numId w:val="4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ustanoveními směrnice jsou povinni řídit se všichni zaměstnanci obce a zastupitelé</w:t>
      </w:r>
    </w:p>
    <w:p w:rsidR="009F01DE" w:rsidRDefault="001B44E2">
      <w:pPr>
        <w:pStyle w:val="Odstavecseseznamem"/>
        <w:numPr>
          <w:ilvl w:val="0"/>
          <w:numId w:val="4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směrnice nabývá účinnosti 30 dnů po schválení zastupitelstvem obce.</w:t>
      </w:r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>Projednáno a schváleno v zastupitelstvu obce:</w:t>
      </w:r>
      <w:r w:rsidR="007149EC">
        <w:rPr>
          <w:szCs w:val="24"/>
        </w:rPr>
        <w:t xml:space="preserve"> </w:t>
      </w:r>
      <w:proofErr w:type="gramStart"/>
      <w:r w:rsidR="007149EC">
        <w:rPr>
          <w:szCs w:val="24"/>
        </w:rPr>
        <w:t>9.11.2016</w:t>
      </w:r>
      <w:proofErr w:type="gramEnd"/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>Směrnice nabývá účinnosti:</w:t>
      </w:r>
      <w:r w:rsidR="007149EC">
        <w:rPr>
          <w:szCs w:val="24"/>
        </w:rPr>
        <w:t xml:space="preserve"> </w:t>
      </w:r>
      <w:proofErr w:type="gramStart"/>
      <w:r w:rsidR="007149EC">
        <w:rPr>
          <w:szCs w:val="24"/>
        </w:rPr>
        <w:t>9.12.2016</w:t>
      </w:r>
      <w:proofErr w:type="gramEnd"/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>V Novém Jáchymově dne</w:t>
      </w:r>
      <w:r w:rsidR="007149EC">
        <w:rPr>
          <w:szCs w:val="24"/>
        </w:rPr>
        <w:t xml:space="preserve"> </w:t>
      </w:r>
      <w:proofErr w:type="gramStart"/>
      <w:r w:rsidR="007149EC">
        <w:rPr>
          <w:szCs w:val="24"/>
        </w:rPr>
        <w:t>9.11.2016</w:t>
      </w:r>
      <w:proofErr w:type="gramEnd"/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9F01DE">
      <w:pPr>
        <w:spacing w:after="0" w:line="240" w:lineRule="auto"/>
        <w:jc w:val="both"/>
        <w:rPr>
          <w:szCs w:val="24"/>
        </w:rPr>
      </w:pP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Dagmar Vlachová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Zoja Spurná</w:t>
      </w:r>
    </w:p>
    <w:p w:rsidR="009F01DE" w:rsidRDefault="001B44E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starostka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proofErr w:type="spellStart"/>
      <w:r>
        <w:rPr>
          <w:szCs w:val="24"/>
        </w:rPr>
        <w:t>místostarostka</w:t>
      </w:r>
      <w:proofErr w:type="spellEnd"/>
    </w:p>
    <w:p w:rsidR="007149EC" w:rsidRDefault="007149EC">
      <w:pPr>
        <w:spacing w:after="0" w:line="240" w:lineRule="auto"/>
        <w:jc w:val="both"/>
        <w:rPr>
          <w:szCs w:val="24"/>
        </w:rPr>
      </w:pPr>
    </w:p>
    <w:p w:rsidR="007149EC" w:rsidRDefault="007149EC">
      <w:pPr>
        <w:spacing w:after="0" w:line="240" w:lineRule="auto"/>
        <w:jc w:val="both"/>
        <w:rPr>
          <w:szCs w:val="24"/>
        </w:rPr>
      </w:pPr>
    </w:p>
    <w:p w:rsidR="007149EC" w:rsidRDefault="007149EC">
      <w:pPr>
        <w:spacing w:after="0" w:line="240" w:lineRule="auto"/>
        <w:jc w:val="both"/>
        <w:rPr>
          <w:szCs w:val="24"/>
        </w:rPr>
      </w:pPr>
    </w:p>
    <w:p w:rsidR="007149EC" w:rsidRDefault="007149EC">
      <w:pPr>
        <w:spacing w:after="0" w:line="240" w:lineRule="auto"/>
        <w:jc w:val="both"/>
        <w:rPr>
          <w:szCs w:val="24"/>
        </w:rPr>
      </w:pPr>
    </w:p>
    <w:p w:rsidR="007149EC" w:rsidRDefault="007149E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Vyvěšeno dne : </w:t>
      </w:r>
      <w:proofErr w:type="gramStart"/>
      <w:r>
        <w:rPr>
          <w:szCs w:val="24"/>
        </w:rPr>
        <w:t>18.11.2016</w:t>
      </w:r>
      <w:proofErr w:type="gramEnd"/>
    </w:p>
    <w:p w:rsidR="007149EC" w:rsidRDefault="007149EC">
      <w:pPr>
        <w:spacing w:after="0" w:line="240" w:lineRule="auto"/>
        <w:jc w:val="both"/>
        <w:rPr>
          <w:szCs w:val="24"/>
        </w:rPr>
      </w:pPr>
      <w:r>
        <w:rPr>
          <w:szCs w:val="24"/>
        </w:rPr>
        <w:t>Sejmuto dne   :</w:t>
      </w:r>
      <w:r w:rsidR="005277F2">
        <w:rPr>
          <w:szCs w:val="24"/>
        </w:rPr>
        <w:t xml:space="preserve">   4.12.2016</w:t>
      </w:r>
    </w:p>
    <w:p w:rsidR="009F01DE" w:rsidRDefault="009F01DE">
      <w:pPr>
        <w:spacing w:after="0" w:line="240" w:lineRule="auto"/>
        <w:jc w:val="center"/>
      </w:pPr>
    </w:p>
    <w:sectPr w:rsidR="009F01DE" w:rsidSect="009F01DE">
      <w:footerReference w:type="default" r:id="rId8"/>
      <w:pgSz w:w="11906" w:h="16838"/>
      <w:pgMar w:top="1417" w:right="1417" w:bottom="1976" w:left="1417" w:header="0" w:footer="1417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C8" w:rsidRDefault="00331AC8" w:rsidP="009F01DE">
      <w:pPr>
        <w:spacing w:after="0" w:line="240" w:lineRule="auto"/>
      </w:pPr>
      <w:r>
        <w:separator/>
      </w:r>
    </w:p>
  </w:endnote>
  <w:endnote w:type="continuationSeparator" w:id="0">
    <w:p w:rsidR="00331AC8" w:rsidRDefault="00331AC8" w:rsidP="009F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DE" w:rsidRDefault="00BA771B">
    <w:pPr>
      <w:pStyle w:val="Footer"/>
    </w:pPr>
    <w:r>
      <w:fldChar w:fldCharType="begin"/>
    </w:r>
    <w:r w:rsidR="001B44E2">
      <w:instrText>PAGE</w:instrText>
    </w:r>
    <w:r>
      <w:fldChar w:fldCharType="separate"/>
    </w:r>
    <w:r w:rsidR="005277F2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C8" w:rsidRDefault="00331AC8" w:rsidP="009F01DE">
      <w:pPr>
        <w:spacing w:after="0" w:line="240" w:lineRule="auto"/>
      </w:pPr>
      <w:r>
        <w:separator/>
      </w:r>
    </w:p>
  </w:footnote>
  <w:footnote w:type="continuationSeparator" w:id="0">
    <w:p w:rsidR="00331AC8" w:rsidRDefault="00331AC8" w:rsidP="009F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E4C"/>
    <w:multiLevelType w:val="multilevel"/>
    <w:tmpl w:val="D5E665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B22B3"/>
    <w:multiLevelType w:val="multilevel"/>
    <w:tmpl w:val="CD4697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D20A1"/>
    <w:multiLevelType w:val="multilevel"/>
    <w:tmpl w:val="F38267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60721B"/>
    <w:multiLevelType w:val="multilevel"/>
    <w:tmpl w:val="A5BA3A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0C64EB"/>
    <w:multiLevelType w:val="multilevel"/>
    <w:tmpl w:val="B10E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0C16A80"/>
    <w:multiLevelType w:val="multilevel"/>
    <w:tmpl w:val="F10AD0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B2842"/>
    <w:multiLevelType w:val="multilevel"/>
    <w:tmpl w:val="718472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E6ADB"/>
    <w:multiLevelType w:val="multilevel"/>
    <w:tmpl w:val="500AF3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419E1"/>
    <w:multiLevelType w:val="multilevel"/>
    <w:tmpl w:val="EE08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F72738D"/>
    <w:multiLevelType w:val="multilevel"/>
    <w:tmpl w:val="6B1C97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E7F59BE"/>
    <w:multiLevelType w:val="multilevel"/>
    <w:tmpl w:val="161696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4897A21"/>
    <w:multiLevelType w:val="multilevel"/>
    <w:tmpl w:val="2F649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C47765F"/>
    <w:multiLevelType w:val="multilevel"/>
    <w:tmpl w:val="E1CC05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1DE"/>
    <w:rsid w:val="001B44E2"/>
    <w:rsid w:val="00273698"/>
    <w:rsid w:val="00324059"/>
    <w:rsid w:val="00331AC8"/>
    <w:rsid w:val="003D1D2D"/>
    <w:rsid w:val="00525E4A"/>
    <w:rsid w:val="005277F2"/>
    <w:rsid w:val="005907C2"/>
    <w:rsid w:val="007149EC"/>
    <w:rsid w:val="009F01DE"/>
    <w:rsid w:val="00A841E1"/>
    <w:rsid w:val="00BA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3FB"/>
    <w:pPr>
      <w:spacing w:after="200" w:line="276" w:lineRule="auto"/>
    </w:pPr>
    <w:rPr>
      <w:rFonts w:ascii="Times New Roman" w:eastAsia="Calibri" w:hAnsi="Times New Roman"/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3603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Header"/>
    <w:uiPriority w:val="99"/>
    <w:semiHidden/>
    <w:qFormat/>
    <w:rsid w:val="00075ABE"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Footer"/>
    <w:uiPriority w:val="99"/>
    <w:semiHidden/>
    <w:qFormat/>
    <w:rsid w:val="00075AB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605CBA"/>
    <w:rPr>
      <w:rFonts w:eastAsia="Calibri" w:cs="Times New Roman"/>
    </w:rPr>
  </w:style>
  <w:style w:type="character" w:customStyle="1" w:styleId="ListLabel2">
    <w:name w:val="ListLabel 2"/>
    <w:qFormat/>
    <w:rsid w:val="00605CBA"/>
    <w:rPr>
      <w:rFonts w:cs="Courier New"/>
    </w:rPr>
  </w:style>
  <w:style w:type="character" w:customStyle="1" w:styleId="ListLabel3">
    <w:name w:val="ListLabel 3"/>
    <w:qFormat/>
    <w:rsid w:val="00605CBA"/>
    <w:rPr>
      <w:rFonts w:cs="Courier New"/>
    </w:rPr>
  </w:style>
  <w:style w:type="character" w:customStyle="1" w:styleId="ListLabel4">
    <w:name w:val="ListLabel 4"/>
    <w:qFormat/>
    <w:rsid w:val="00605CBA"/>
    <w:rPr>
      <w:rFonts w:cs="Courier New"/>
    </w:rPr>
  </w:style>
  <w:style w:type="character" w:customStyle="1" w:styleId="ListLabel5">
    <w:name w:val="ListLabel 5"/>
    <w:qFormat/>
    <w:rsid w:val="00605CBA"/>
    <w:rPr>
      <w:rFonts w:cs="Times New Roman"/>
    </w:rPr>
  </w:style>
  <w:style w:type="character" w:customStyle="1" w:styleId="ListLabel6">
    <w:name w:val="ListLabel 6"/>
    <w:qFormat/>
    <w:rsid w:val="00605CBA"/>
    <w:rPr>
      <w:rFonts w:cs="Courier New"/>
    </w:rPr>
  </w:style>
  <w:style w:type="character" w:customStyle="1" w:styleId="ListLabel7">
    <w:name w:val="ListLabel 7"/>
    <w:qFormat/>
    <w:rsid w:val="00605CBA"/>
    <w:rPr>
      <w:rFonts w:cs="Wingdings"/>
    </w:rPr>
  </w:style>
  <w:style w:type="character" w:customStyle="1" w:styleId="ListLabel8">
    <w:name w:val="ListLabel 8"/>
    <w:qFormat/>
    <w:rsid w:val="00605CBA"/>
    <w:rPr>
      <w:rFonts w:cs="Symbol"/>
    </w:rPr>
  </w:style>
  <w:style w:type="character" w:customStyle="1" w:styleId="ListLabel9">
    <w:name w:val="ListLabel 9"/>
    <w:qFormat/>
    <w:rsid w:val="00605CBA"/>
    <w:rPr>
      <w:rFonts w:cs="Courier New"/>
    </w:rPr>
  </w:style>
  <w:style w:type="character" w:customStyle="1" w:styleId="ListLabel10">
    <w:name w:val="ListLabel 10"/>
    <w:qFormat/>
    <w:rsid w:val="00605CBA"/>
    <w:rPr>
      <w:rFonts w:cs="Wingdings"/>
    </w:rPr>
  </w:style>
  <w:style w:type="character" w:customStyle="1" w:styleId="ListLabel11">
    <w:name w:val="ListLabel 11"/>
    <w:qFormat/>
    <w:rsid w:val="00605CBA"/>
    <w:rPr>
      <w:rFonts w:cs="Symbol"/>
    </w:rPr>
  </w:style>
  <w:style w:type="character" w:customStyle="1" w:styleId="ListLabel12">
    <w:name w:val="ListLabel 12"/>
    <w:qFormat/>
    <w:rsid w:val="00605CBA"/>
    <w:rPr>
      <w:rFonts w:cs="Courier New"/>
    </w:rPr>
  </w:style>
  <w:style w:type="character" w:customStyle="1" w:styleId="ListLabel13">
    <w:name w:val="ListLabel 13"/>
    <w:qFormat/>
    <w:rsid w:val="00605CBA"/>
    <w:rPr>
      <w:rFonts w:cs="Wingdings"/>
    </w:rPr>
  </w:style>
  <w:style w:type="character" w:customStyle="1" w:styleId="ListLabel14">
    <w:name w:val="ListLabel 14"/>
    <w:qFormat/>
    <w:rsid w:val="00605CBA"/>
    <w:rPr>
      <w:rFonts w:cs="Times New Roman"/>
    </w:rPr>
  </w:style>
  <w:style w:type="character" w:customStyle="1" w:styleId="ListLabel15">
    <w:name w:val="ListLabel 15"/>
    <w:qFormat/>
    <w:rsid w:val="00605CBA"/>
    <w:rPr>
      <w:rFonts w:cs="Courier New"/>
    </w:rPr>
  </w:style>
  <w:style w:type="character" w:customStyle="1" w:styleId="ListLabel16">
    <w:name w:val="ListLabel 16"/>
    <w:qFormat/>
    <w:rsid w:val="00605CBA"/>
    <w:rPr>
      <w:rFonts w:cs="Wingdings"/>
    </w:rPr>
  </w:style>
  <w:style w:type="character" w:customStyle="1" w:styleId="ListLabel17">
    <w:name w:val="ListLabel 17"/>
    <w:qFormat/>
    <w:rsid w:val="00605CBA"/>
    <w:rPr>
      <w:rFonts w:cs="Symbol"/>
    </w:rPr>
  </w:style>
  <w:style w:type="character" w:customStyle="1" w:styleId="ListLabel18">
    <w:name w:val="ListLabel 18"/>
    <w:qFormat/>
    <w:rsid w:val="00605CBA"/>
    <w:rPr>
      <w:rFonts w:cs="Courier New"/>
    </w:rPr>
  </w:style>
  <w:style w:type="character" w:customStyle="1" w:styleId="ListLabel19">
    <w:name w:val="ListLabel 19"/>
    <w:qFormat/>
    <w:rsid w:val="00605CBA"/>
    <w:rPr>
      <w:rFonts w:cs="Wingdings"/>
    </w:rPr>
  </w:style>
  <w:style w:type="character" w:customStyle="1" w:styleId="ListLabel20">
    <w:name w:val="ListLabel 20"/>
    <w:qFormat/>
    <w:rsid w:val="00605CBA"/>
    <w:rPr>
      <w:rFonts w:cs="Symbol"/>
    </w:rPr>
  </w:style>
  <w:style w:type="character" w:customStyle="1" w:styleId="ListLabel21">
    <w:name w:val="ListLabel 21"/>
    <w:qFormat/>
    <w:rsid w:val="00605CBA"/>
    <w:rPr>
      <w:rFonts w:cs="Courier New"/>
    </w:rPr>
  </w:style>
  <w:style w:type="character" w:customStyle="1" w:styleId="ListLabel22">
    <w:name w:val="ListLabel 22"/>
    <w:qFormat/>
    <w:rsid w:val="00605CBA"/>
    <w:rPr>
      <w:rFonts w:cs="Wingdings"/>
    </w:rPr>
  </w:style>
  <w:style w:type="character" w:customStyle="1" w:styleId="ListLabel23">
    <w:name w:val="ListLabel 23"/>
    <w:qFormat/>
    <w:rsid w:val="00605CBA"/>
    <w:rPr>
      <w:rFonts w:cs="Times New Roman"/>
    </w:rPr>
  </w:style>
  <w:style w:type="character" w:customStyle="1" w:styleId="ListLabel24">
    <w:name w:val="ListLabel 24"/>
    <w:qFormat/>
    <w:rsid w:val="00605CBA"/>
    <w:rPr>
      <w:rFonts w:cs="Courier New"/>
    </w:rPr>
  </w:style>
  <w:style w:type="character" w:customStyle="1" w:styleId="ListLabel25">
    <w:name w:val="ListLabel 25"/>
    <w:qFormat/>
    <w:rsid w:val="00605CBA"/>
    <w:rPr>
      <w:rFonts w:cs="Wingdings"/>
    </w:rPr>
  </w:style>
  <w:style w:type="character" w:customStyle="1" w:styleId="ListLabel26">
    <w:name w:val="ListLabel 26"/>
    <w:qFormat/>
    <w:rsid w:val="00605CBA"/>
    <w:rPr>
      <w:rFonts w:cs="Symbol"/>
    </w:rPr>
  </w:style>
  <w:style w:type="character" w:customStyle="1" w:styleId="ListLabel27">
    <w:name w:val="ListLabel 27"/>
    <w:qFormat/>
    <w:rsid w:val="00605CBA"/>
    <w:rPr>
      <w:rFonts w:cs="Courier New"/>
    </w:rPr>
  </w:style>
  <w:style w:type="character" w:customStyle="1" w:styleId="ListLabel28">
    <w:name w:val="ListLabel 28"/>
    <w:qFormat/>
    <w:rsid w:val="00605CBA"/>
    <w:rPr>
      <w:rFonts w:cs="Wingdings"/>
    </w:rPr>
  </w:style>
  <w:style w:type="character" w:customStyle="1" w:styleId="ListLabel29">
    <w:name w:val="ListLabel 29"/>
    <w:qFormat/>
    <w:rsid w:val="00605CBA"/>
    <w:rPr>
      <w:rFonts w:cs="Symbol"/>
    </w:rPr>
  </w:style>
  <w:style w:type="character" w:customStyle="1" w:styleId="ListLabel30">
    <w:name w:val="ListLabel 30"/>
    <w:qFormat/>
    <w:rsid w:val="00605CBA"/>
    <w:rPr>
      <w:rFonts w:cs="Courier New"/>
    </w:rPr>
  </w:style>
  <w:style w:type="character" w:customStyle="1" w:styleId="ListLabel31">
    <w:name w:val="ListLabel 31"/>
    <w:qFormat/>
    <w:rsid w:val="00605CBA"/>
    <w:rPr>
      <w:rFonts w:cs="Wingding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05CBA"/>
    <w:rPr>
      <w:rFonts w:ascii="Times New Roman" w:hAnsi="Times New Roman"/>
      <w:color w:val="00000A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05CBA"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6759B"/>
    <w:rPr>
      <w:rFonts w:ascii="Times New Roman" w:hAnsi="Times New Roman"/>
      <w:b/>
      <w:bCs/>
      <w:color w:val="00000A"/>
      <w:szCs w:val="20"/>
    </w:rPr>
  </w:style>
  <w:style w:type="character" w:customStyle="1" w:styleId="ListLabel32">
    <w:name w:val="ListLabel 32"/>
    <w:qFormat/>
    <w:rsid w:val="00605CBA"/>
    <w:rPr>
      <w:rFonts w:eastAsia="Calibri"/>
    </w:rPr>
  </w:style>
  <w:style w:type="character" w:customStyle="1" w:styleId="ListLabel33">
    <w:name w:val="ListLabel 33"/>
    <w:qFormat/>
    <w:rsid w:val="00605CBA"/>
    <w:rPr>
      <w:rFonts w:cs="Courier New"/>
    </w:rPr>
  </w:style>
  <w:style w:type="character" w:customStyle="1" w:styleId="ListLabel34">
    <w:name w:val="ListLabel 34"/>
    <w:qFormat/>
    <w:rsid w:val="00605CBA"/>
    <w:rPr>
      <w:rFonts w:cs="Wingdings"/>
    </w:rPr>
  </w:style>
  <w:style w:type="character" w:customStyle="1" w:styleId="ListLabel35">
    <w:name w:val="ListLabel 35"/>
    <w:qFormat/>
    <w:rsid w:val="00605CBA"/>
    <w:rPr>
      <w:rFonts w:cs="Symbol"/>
    </w:rPr>
  </w:style>
  <w:style w:type="character" w:customStyle="1" w:styleId="ListLabel36">
    <w:name w:val="ListLabel 36"/>
    <w:qFormat/>
    <w:rsid w:val="00605CBA"/>
    <w:rPr>
      <w:rFonts w:cs="Courier New"/>
    </w:rPr>
  </w:style>
  <w:style w:type="character" w:customStyle="1" w:styleId="ListLabel37">
    <w:name w:val="ListLabel 37"/>
    <w:qFormat/>
    <w:rsid w:val="00605CBA"/>
    <w:rPr>
      <w:rFonts w:cs="Wingdings"/>
    </w:rPr>
  </w:style>
  <w:style w:type="character" w:customStyle="1" w:styleId="ListLabel38">
    <w:name w:val="ListLabel 38"/>
    <w:qFormat/>
    <w:rsid w:val="00605CBA"/>
    <w:rPr>
      <w:rFonts w:cs="Symbol"/>
    </w:rPr>
  </w:style>
  <w:style w:type="character" w:customStyle="1" w:styleId="ListLabel39">
    <w:name w:val="ListLabel 39"/>
    <w:qFormat/>
    <w:rsid w:val="00605CBA"/>
    <w:rPr>
      <w:rFonts w:cs="Courier New"/>
    </w:rPr>
  </w:style>
  <w:style w:type="character" w:customStyle="1" w:styleId="ListLabel40">
    <w:name w:val="ListLabel 40"/>
    <w:qFormat/>
    <w:rsid w:val="00605CBA"/>
    <w:rPr>
      <w:rFonts w:cs="Wingdings"/>
    </w:rPr>
  </w:style>
  <w:style w:type="character" w:customStyle="1" w:styleId="Symbolyproslovn">
    <w:name w:val="Symboly pro číslování"/>
    <w:qFormat/>
    <w:rsid w:val="00605CBA"/>
  </w:style>
  <w:style w:type="character" w:customStyle="1" w:styleId="Odrky">
    <w:name w:val="Odrážky"/>
    <w:qFormat/>
    <w:rsid w:val="00605CBA"/>
    <w:rPr>
      <w:rFonts w:ascii="OpenSymbol" w:eastAsia="OpenSymbol" w:hAnsi="OpenSymbol" w:cs="OpenSymbol"/>
    </w:rPr>
  </w:style>
  <w:style w:type="character" w:customStyle="1" w:styleId="ListLabel41">
    <w:name w:val="ListLabel 41"/>
    <w:qFormat/>
    <w:rsid w:val="009F01DE"/>
    <w:rPr>
      <w:b/>
    </w:rPr>
  </w:style>
  <w:style w:type="character" w:customStyle="1" w:styleId="ListLabel42">
    <w:name w:val="ListLabel 42"/>
    <w:qFormat/>
    <w:rsid w:val="009F01DE"/>
    <w:rPr>
      <w:b/>
    </w:rPr>
  </w:style>
  <w:style w:type="character" w:customStyle="1" w:styleId="ListLabel43">
    <w:name w:val="ListLabel 43"/>
    <w:qFormat/>
    <w:rsid w:val="009F01DE"/>
    <w:rPr>
      <w:b/>
    </w:rPr>
  </w:style>
  <w:style w:type="character" w:customStyle="1" w:styleId="ListLabel44">
    <w:name w:val="ListLabel 44"/>
    <w:qFormat/>
    <w:rsid w:val="009F01DE"/>
    <w:rPr>
      <w:b/>
    </w:rPr>
  </w:style>
  <w:style w:type="character" w:customStyle="1" w:styleId="ListLabel45">
    <w:name w:val="ListLabel 45"/>
    <w:qFormat/>
    <w:rsid w:val="009F01DE"/>
    <w:rPr>
      <w:b/>
    </w:rPr>
  </w:style>
  <w:style w:type="character" w:customStyle="1" w:styleId="ListLabel46">
    <w:name w:val="ListLabel 46"/>
    <w:qFormat/>
    <w:rsid w:val="009F01DE"/>
    <w:rPr>
      <w:b/>
    </w:rPr>
  </w:style>
  <w:style w:type="paragraph" w:customStyle="1" w:styleId="Nadpis">
    <w:name w:val="Nadpis"/>
    <w:basedOn w:val="Normln"/>
    <w:next w:val="Zkladntext"/>
    <w:qFormat/>
    <w:rsid w:val="00605C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F01DE"/>
    <w:pPr>
      <w:spacing w:after="140" w:line="288" w:lineRule="auto"/>
    </w:pPr>
  </w:style>
  <w:style w:type="paragraph" w:styleId="Seznam">
    <w:name w:val="List"/>
    <w:basedOn w:val="Zkladntext"/>
    <w:rsid w:val="00605CBA"/>
    <w:pPr>
      <w:widowControl w:val="0"/>
    </w:pPr>
    <w:rPr>
      <w:rFonts w:asciiTheme="minorHAnsi" w:eastAsiaTheme="minorHAnsi" w:hAnsiTheme="minorHAnsi" w:cs="Arial"/>
    </w:rPr>
  </w:style>
  <w:style w:type="paragraph" w:customStyle="1" w:styleId="Caption">
    <w:name w:val="Caption"/>
    <w:basedOn w:val="Normln"/>
    <w:qFormat/>
    <w:rsid w:val="00605CB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rsid w:val="00605CBA"/>
    <w:pPr>
      <w:suppressLineNumbers/>
    </w:pPr>
    <w:rPr>
      <w:rFonts w:cs="Arial"/>
    </w:rPr>
  </w:style>
  <w:style w:type="paragraph" w:customStyle="1" w:styleId="Zkladntext1">
    <w:name w:val="Základní text1"/>
    <w:basedOn w:val="Normln"/>
    <w:qFormat/>
    <w:rsid w:val="00605CBA"/>
    <w:pPr>
      <w:spacing w:after="140" w:line="288" w:lineRule="auto"/>
    </w:pPr>
  </w:style>
  <w:style w:type="paragraph" w:styleId="Odstavecseseznamem">
    <w:name w:val="List Paragraph"/>
    <w:basedOn w:val="Normln"/>
    <w:uiPriority w:val="34"/>
    <w:qFormat/>
    <w:rsid w:val="00C503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360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ln"/>
    <w:link w:val="ZhlavChar"/>
    <w:uiPriority w:val="99"/>
    <w:semiHidden/>
    <w:unhideWhenUsed/>
    <w:rsid w:val="00075A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ln"/>
    <w:link w:val="ZpatChar"/>
    <w:uiPriority w:val="99"/>
    <w:semiHidden/>
    <w:unhideWhenUsed/>
    <w:rsid w:val="00075ABE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05CB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6675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ADE5-C0E2-4F06-9E72-692EF913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1526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starostka</cp:lastModifiedBy>
  <cp:revision>6</cp:revision>
  <cp:lastPrinted>2016-12-08T11:27:00Z</cp:lastPrinted>
  <dcterms:created xsi:type="dcterms:W3CDTF">2016-10-03T06:53:00Z</dcterms:created>
  <dcterms:modified xsi:type="dcterms:W3CDTF">2016-12-08T11:31:00Z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