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32840" w14:textId="77777777" w:rsidR="00962022" w:rsidRPr="00057F88" w:rsidRDefault="00057F88" w:rsidP="00057F88">
      <w:pPr>
        <w:spacing w:after="0"/>
        <w:jc w:val="center"/>
        <w:rPr>
          <w:b/>
          <w:sz w:val="28"/>
          <w:szCs w:val="28"/>
        </w:rPr>
      </w:pPr>
      <w:r w:rsidRPr="00057F88">
        <w:rPr>
          <w:b/>
          <w:sz w:val="28"/>
          <w:szCs w:val="28"/>
        </w:rPr>
        <w:t>OBEC NOVÝ JÁCHYMOV</w:t>
      </w:r>
    </w:p>
    <w:p w14:paraId="365BE5D5" w14:textId="77777777" w:rsidR="00057F88" w:rsidRPr="00057F88" w:rsidRDefault="00057F88" w:rsidP="00057F88">
      <w:pPr>
        <w:jc w:val="center"/>
        <w:rPr>
          <w:b/>
          <w:sz w:val="28"/>
          <w:szCs w:val="28"/>
        </w:rPr>
      </w:pPr>
      <w:r w:rsidRPr="00057F88">
        <w:rPr>
          <w:b/>
          <w:sz w:val="28"/>
          <w:szCs w:val="28"/>
        </w:rPr>
        <w:t>Zastupitelstvo obce Nový Jáchymov</w:t>
      </w:r>
    </w:p>
    <w:p w14:paraId="7E8CFA43" w14:textId="6721BA44" w:rsidR="00057F88" w:rsidRPr="00057F88" w:rsidRDefault="00057F88" w:rsidP="00057F88">
      <w:pPr>
        <w:spacing w:after="0"/>
        <w:jc w:val="center"/>
        <w:rPr>
          <w:b/>
          <w:sz w:val="28"/>
          <w:szCs w:val="28"/>
        </w:rPr>
      </w:pPr>
      <w:r w:rsidRPr="00057F88">
        <w:rPr>
          <w:b/>
          <w:sz w:val="28"/>
          <w:szCs w:val="28"/>
        </w:rPr>
        <w:t>Obecně závazná vyhláška obce Nový Jáchymov,</w:t>
      </w:r>
    </w:p>
    <w:p w14:paraId="0169CD09" w14:textId="77777777" w:rsidR="00057F88" w:rsidRDefault="00057F88" w:rsidP="00057F88">
      <w:pPr>
        <w:jc w:val="center"/>
        <w:rPr>
          <w:b/>
          <w:sz w:val="28"/>
          <w:szCs w:val="28"/>
        </w:rPr>
      </w:pPr>
      <w:r w:rsidRPr="00057F88">
        <w:rPr>
          <w:b/>
          <w:sz w:val="28"/>
          <w:szCs w:val="28"/>
        </w:rPr>
        <w:t>o stanovení obecního systému odpadového hospodářství</w:t>
      </w:r>
    </w:p>
    <w:p w14:paraId="52EB8CF0" w14:textId="0EB4DAA0" w:rsidR="00057F88" w:rsidRDefault="00057F88" w:rsidP="00057F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Zastupitelstvo obce Nový Jáchymov se na svém zasedání dne </w:t>
      </w:r>
      <w:r w:rsidR="00A16186">
        <w:rPr>
          <w:sz w:val="24"/>
          <w:szCs w:val="24"/>
        </w:rPr>
        <w:t xml:space="preserve">14.4.2026 </w:t>
      </w:r>
      <w:r>
        <w:rPr>
          <w:sz w:val="24"/>
          <w:szCs w:val="24"/>
        </w:rPr>
        <w:t xml:space="preserve">usnesením č. </w:t>
      </w:r>
      <w:r w:rsidR="00A16186">
        <w:rPr>
          <w:sz w:val="24"/>
          <w:szCs w:val="24"/>
        </w:rPr>
        <w:t>6/3/2026</w:t>
      </w:r>
      <w:r>
        <w:rPr>
          <w:sz w:val="24"/>
          <w:szCs w:val="24"/>
        </w:rPr>
        <w:t xml:space="preserve"> usneslo vydat na základě </w:t>
      </w:r>
      <w:r w:rsidR="005E679F">
        <w:rPr>
          <w:sz w:val="24"/>
          <w:szCs w:val="24"/>
        </w:rPr>
        <w:t xml:space="preserve">zákonného zmocnění § 10 písm. d) a § 84 odst. 2 písm. h) zákona č. 128/2000 Sb., o obcích (obecní zřízení), ve znění pozdějších předpisů a </w:t>
      </w:r>
      <w:r>
        <w:rPr>
          <w:sz w:val="24"/>
          <w:szCs w:val="24"/>
        </w:rPr>
        <w:t>§ 59 odst. 4 zákona č. 541/2020 Sb., o odpadech</w:t>
      </w:r>
      <w:r w:rsidR="005E679F">
        <w:rPr>
          <w:sz w:val="24"/>
          <w:szCs w:val="24"/>
        </w:rPr>
        <w:t>, ve znění pozdějších předpisů (dále jen „zákon o odpadech</w:t>
      </w:r>
      <w:proofErr w:type="gramStart"/>
      <w:r w:rsidR="005E679F">
        <w:rPr>
          <w:sz w:val="24"/>
          <w:szCs w:val="24"/>
        </w:rPr>
        <w:t>“)</w:t>
      </w:r>
      <w:r>
        <w:rPr>
          <w:sz w:val="24"/>
          <w:szCs w:val="24"/>
        </w:rPr>
        <w:t xml:space="preserve">  tuto</w:t>
      </w:r>
      <w:proofErr w:type="gramEnd"/>
      <w:r>
        <w:rPr>
          <w:sz w:val="24"/>
          <w:szCs w:val="24"/>
        </w:rPr>
        <w:t xml:space="preserve"> obecně závaznou vyhlášku (dále jen „vyhláška“):</w:t>
      </w:r>
    </w:p>
    <w:p w14:paraId="318AB5A5" w14:textId="77777777" w:rsidR="00057F88" w:rsidRDefault="00057F88" w:rsidP="00057F88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1</w:t>
      </w:r>
    </w:p>
    <w:p w14:paraId="316753CF" w14:textId="77777777" w:rsidR="00057F88" w:rsidRDefault="00057F88" w:rsidP="00FA4608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Úvodní ustanovení</w:t>
      </w:r>
    </w:p>
    <w:p w14:paraId="6406F002" w14:textId="77777777" w:rsidR="00FA4608" w:rsidRDefault="00FA4608" w:rsidP="00FA4608">
      <w:pPr>
        <w:spacing w:after="0"/>
        <w:jc w:val="center"/>
        <w:rPr>
          <w:b/>
          <w:sz w:val="24"/>
          <w:szCs w:val="24"/>
        </w:rPr>
      </w:pPr>
    </w:p>
    <w:p w14:paraId="79326553" w14:textId="77777777" w:rsidR="00057F88" w:rsidRDefault="00057F88" w:rsidP="00057F88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Tato vyhláška stanovuje obecní systém odpadového hospodářství </w:t>
      </w:r>
      <w:r w:rsidR="00B0026D" w:rsidRPr="00A95847">
        <w:rPr>
          <w:sz w:val="24"/>
          <w:szCs w:val="24"/>
        </w:rPr>
        <w:t>na území</w:t>
      </w:r>
      <w:r w:rsidR="00B0026D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obce Nový Jáchymov.</w:t>
      </w:r>
    </w:p>
    <w:p w14:paraId="1D6610DF" w14:textId="77777777" w:rsidR="00057F88" w:rsidRDefault="00057F88" w:rsidP="00057F88">
      <w:pPr>
        <w:pStyle w:val="Odstavecseseznamem"/>
        <w:ind w:left="360"/>
        <w:jc w:val="both"/>
        <w:rPr>
          <w:sz w:val="24"/>
          <w:szCs w:val="24"/>
        </w:rPr>
      </w:pPr>
    </w:p>
    <w:p w14:paraId="6FA20E41" w14:textId="77777777" w:rsidR="00057F88" w:rsidRDefault="00057F88" w:rsidP="00057F88">
      <w:pPr>
        <w:pStyle w:val="Odstavecseseznamem"/>
        <w:numPr>
          <w:ilvl w:val="0"/>
          <w:numId w:val="1"/>
        </w:numPr>
        <w:spacing w:before="240" w:after="0"/>
        <w:jc w:val="both"/>
        <w:rPr>
          <w:sz w:val="24"/>
          <w:szCs w:val="24"/>
        </w:rPr>
      </w:pPr>
      <w:r>
        <w:rPr>
          <w:sz w:val="24"/>
          <w:szCs w:val="24"/>
        </w:rPr>
        <w:t>Každý je povinen odpad nebo movitou věc, které předává do obecního systému, odkládat na místa určená obcí v souladu s povinnostmi stanovenými pro daný druh, kategorii nebo materiál odpadu nebo movitých věcí zákonem o odpadech a touto vyhláškou.</w:t>
      </w:r>
    </w:p>
    <w:p w14:paraId="3709CC40" w14:textId="77777777" w:rsidR="00057F88" w:rsidRPr="00057F88" w:rsidRDefault="00057F88" w:rsidP="00057F88">
      <w:pPr>
        <w:pStyle w:val="Odstavecseseznamem"/>
        <w:rPr>
          <w:sz w:val="24"/>
          <w:szCs w:val="24"/>
        </w:rPr>
      </w:pPr>
    </w:p>
    <w:p w14:paraId="0DED77D0" w14:textId="77777777" w:rsidR="00057F88" w:rsidRDefault="00057F88" w:rsidP="00057F88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V okamžiku, kdy osoba zapojená do obecního systému odloží movitou věc nebo odpad s výjimkou výrobků s ukončenou životností, na místě obcí k tomuto účelu určeném, stává se obec vlastníkem této movité věci nebo odpadu.</w:t>
      </w:r>
    </w:p>
    <w:p w14:paraId="6A1A21C1" w14:textId="77777777" w:rsidR="00057F88" w:rsidRPr="00057F88" w:rsidRDefault="00057F88" w:rsidP="00057F88">
      <w:pPr>
        <w:pStyle w:val="Odstavecseseznamem"/>
        <w:rPr>
          <w:sz w:val="24"/>
          <w:szCs w:val="24"/>
        </w:rPr>
      </w:pPr>
    </w:p>
    <w:p w14:paraId="078DD5FD" w14:textId="77777777" w:rsidR="00057F88" w:rsidRDefault="00057F88" w:rsidP="00057F88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Stanoviště sběrných nádob je místo, kde jsou sběrné nádoby trval</w:t>
      </w:r>
      <w:r w:rsidR="00B0026D">
        <w:rPr>
          <w:sz w:val="24"/>
          <w:szCs w:val="24"/>
        </w:rPr>
        <w:t>e</w:t>
      </w:r>
      <w:r>
        <w:rPr>
          <w:sz w:val="24"/>
          <w:szCs w:val="24"/>
        </w:rPr>
        <w:t xml:space="preserve"> nebo přechodně umístěny za účelem dalšího nakládání se směsným komunálním odpadem. Stanoviště sběrných nádob jsou individuální nebo společná pro více uživatelů.</w:t>
      </w:r>
    </w:p>
    <w:p w14:paraId="6756FB76" w14:textId="77777777" w:rsidR="00FA4608" w:rsidRPr="00FA4608" w:rsidRDefault="00FA4608" w:rsidP="00FA4608">
      <w:pPr>
        <w:pStyle w:val="Odstavecseseznamem"/>
        <w:rPr>
          <w:sz w:val="24"/>
          <w:szCs w:val="24"/>
        </w:rPr>
      </w:pPr>
    </w:p>
    <w:p w14:paraId="0EF9D2AF" w14:textId="77777777" w:rsidR="00FA4608" w:rsidRPr="00FA4608" w:rsidRDefault="00FA4608" w:rsidP="00FA4608">
      <w:pPr>
        <w:pStyle w:val="Odstavecseseznamem"/>
        <w:ind w:left="360"/>
        <w:jc w:val="center"/>
        <w:rPr>
          <w:b/>
          <w:sz w:val="24"/>
          <w:szCs w:val="24"/>
        </w:rPr>
      </w:pPr>
      <w:r w:rsidRPr="00FA4608">
        <w:rPr>
          <w:b/>
          <w:sz w:val="24"/>
          <w:szCs w:val="24"/>
        </w:rPr>
        <w:t>Čl. 2</w:t>
      </w:r>
    </w:p>
    <w:p w14:paraId="21143DDF" w14:textId="77777777" w:rsidR="00FA4608" w:rsidRDefault="00FA4608" w:rsidP="00FA4608">
      <w:pPr>
        <w:pStyle w:val="Odstavecseseznamem"/>
        <w:ind w:left="360"/>
        <w:jc w:val="center"/>
        <w:rPr>
          <w:b/>
          <w:sz w:val="24"/>
          <w:szCs w:val="24"/>
        </w:rPr>
      </w:pPr>
      <w:r w:rsidRPr="00FA4608">
        <w:rPr>
          <w:b/>
          <w:sz w:val="24"/>
          <w:szCs w:val="24"/>
        </w:rPr>
        <w:t>Oddělené soustřeďování komunálního odpadu</w:t>
      </w:r>
    </w:p>
    <w:p w14:paraId="209653A1" w14:textId="77777777" w:rsidR="00FA4608" w:rsidRDefault="00FA4608" w:rsidP="00FA4608">
      <w:pPr>
        <w:pStyle w:val="Odstavecseseznamem"/>
        <w:ind w:left="360"/>
        <w:jc w:val="center"/>
        <w:rPr>
          <w:b/>
          <w:sz w:val="24"/>
          <w:szCs w:val="24"/>
        </w:rPr>
      </w:pPr>
    </w:p>
    <w:p w14:paraId="42130322" w14:textId="77777777" w:rsidR="00FA4608" w:rsidRPr="000E5C63" w:rsidRDefault="00FA4608" w:rsidP="000E5C63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Osoby předávající komunální odpad na místa určená obcí jsou povinny odděleně soustřeďovat následující složky:</w:t>
      </w:r>
    </w:p>
    <w:p w14:paraId="6E6BF94E" w14:textId="77777777" w:rsidR="00FA4608" w:rsidRDefault="00FA4608" w:rsidP="00FA4608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biologické odpady,</w:t>
      </w:r>
    </w:p>
    <w:p w14:paraId="3F4809E4" w14:textId="77777777" w:rsidR="00FA4608" w:rsidRDefault="00FA4608" w:rsidP="00FA4608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papír,</w:t>
      </w:r>
    </w:p>
    <w:p w14:paraId="49B040AD" w14:textId="77777777" w:rsidR="00FA4608" w:rsidRDefault="00FA4608" w:rsidP="00FA4608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plasty včetně PET lahví,</w:t>
      </w:r>
    </w:p>
    <w:p w14:paraId="09AE0651" w14:textId="77777777" w:rsidR="00FA4608" w:rsidRDefault="00FA4608" w:rsidP="00FA4608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sklo,</w:t>
      </w:r>
    </w:p>
    <w:p w14:paraId="74350041" w14:textId="77777777" w:rsidR="00FA4608" w:rsidRDefault="00FA4608" w:rsidP="00FA4608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kovy,</w:t>
      </w:r>
    </w:p>
    <w:p w14:paraId="3057AB9C" w14:textId="77777777" w:rsidR="00FA4608" w:rsidRDefault="00FA4608" w:rsidP="00FA4608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nebezpečné odpady,</w:t>
      </w:r>
    </w:p>
    <w:p w14:paraId="2E5F4C06" w14:textId="77777777" w:rsidR="00FA4608" w:rsidRDefault="00FA4608" w:rsidP="00FA4608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objemný odpad,</w:t>
      </w:r>
    </w:p>
    <w:p w14:paraId="480EC305" w14:textId="6531DF28" w:rsidR="002E51B1" w:rsidRDefault="00FA4608" w:rsidP="002E51B1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jedlé oleje a tuky,</w:t>
      </w:r>
    </w:p>
    <w:p w14:paraId="454AFA9E" w14:textId="679120EA" w:rsidR="002E51B1" w:rsidRPr="002E51B1" w:rsidRDefault="002E51B1" w:rsidP="002E51B1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textil</w:t>
      </w:r>
    </w:p>
    <w:p w14:paraId="72021768" w14:textId="77777777" w:rsidR="00FA4608" w:rsidRDefault="00FA4608" w:rsidP="00FA4608">
      <w:pPr>
        <w:pStyle w:val="Odstavecseseznamem"/>
        <w:jc w:val="both"/>
        <w:rPr>
          <w:sz w:val="24"/>
          <w:szCs w:val="24"/>
        </w:rPr>
      </w:pPr>
    </w:p>
    <w:p w14:paraId="5548EEA9" w14:textId="24E7CBF1" w:rsidR="00FA4608" w:rsidRDefault="00FA4608" w:rsidP="00FA4608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Směsným komunálním odpadem se rozumí zbylý komunální odpad po stanoveném vytřídění podle odstavce 1 písm. a), b</w:t>
      </w:r>
      <w:r w:rsidR="00167D6E">
        <w:rPr>
          <w:sz w:val="24"/>
          <w:szCs w:val="24"/>
        </w:rPr>
        <w:t>), c), d), e), f), g), h)</w:t>
      </w:r>
      <w:r w:rsidR="002E51B1">
        <w:rPr>
          <w:sz w:val="24"/>
          <w:szCs w:val="24"/>
        </w:rPr>
        <w:t>, i).</w:t>
      </w:r>
    </w:p>
    <w:p w14:paraId="69F8A93A" w14:textId="77777777" w:rsidR="00FA4608" w:rsidRDefault="00FA4608" w:rsidP="00FA4608">
      <w:pPr>
        <w:pStyle w:val="Odstavecseseznamem"/>
        <w:ind w:left="360"/>
        <w:jc w:val="both"/>
        <w:rPr>
          <w:sz w:val="24"/>
          <w:szCs w:val="24"/>
        </w:rPr>
      </w:pPr>
    </w:p>
    <w:p w14:paraId="0380FC20" w14:textId="77777777" w:rsidR="00FA4608" w:rsidRDefault="00FA4608" w:rsidP="00FA4608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Objemný odpad je takový odpad, který vzhledem ke svým rozměrům nemůže být umístěn do sběrných nádob (např. koberce, matrace, nábytek…)</w:t>
      </w:r>
    </w:p>
    <w:p w14:paraId="06551A3D" w14:textId="77777777" w:rsidR="00FA4608" w:rsidRPr="00FA4608" w:rsidRDefault="00FA4608" w:rsidP="00FA4608">
      <w:pPr>
        <w:pStyle w:val="Odstavecseseznamem"/>
        <w:rPr>
          <w:sz w:val="24"/>
          <w:szCs w:val="24"/>
        </w:rPr>
      </w:pPr>
    </w:p>
    <w:p w14:paraId="09DC5BFF" w14:textId="77777777" w:rsidR="00FA4608" w:rsidRDefault="00FA4608" w:rsidP="00FA4608">
      <w:pPr>
        <w:pStyle w:val="Odstavecseseznamem"/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3</w:t>
      </w:r>
    </w:p>
    <w:p w14:paraId="65C20433" w14:textId="0748A757" w:rsidR="00FA4608" w:rsidRDefault="00FA4608" w:rsidP="00FA4608">
      <w:pPr>
        <w:pStyle w:val="Odstavecseseznamem"/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Soustřeďování papíru, plastů, skla, kovů, biologického odpadu, jedlých olejů a tu</w:t>
      </w:r>
      <w:r w:rsidR="00BF6DD7">
        <w:rPr>
          <w:b/>
          <w:sz w:val="24"/>
          <w:szCs w:val="24"/>
        </w:rPr>
        <w:t>ků</w:t>
      </w:r>
      <w:r w:rsidR="002E51B1">
        <w:rPr>
          <w:b/>
          <w:sz w:val="24"/>
          <w:szCs w:val="24"/>
        </w:rPr>
        <w:t xml:space="preserve"> </w:t>
      </w:r>
      <w:proofErr w:type="gramStart"/>
      <w:r w:rsidR="002E51B1">
        <w:rPr>
          <w:b/>
          <w:sz w:val="24"/>
          <w:szCs w:val="24"/>
        </w:rPr>
        <w:t>a  textilu</w:t>
      </w:r>
      <w:proofErr w:type="gramEnd"/>
    </w:p>
    <w:p w14:paraId="5F280C11" w14:textId="77777777" w:rsidR="00BF6DD7" w:rsidRDefault="00BF6DD7" w:rsidP="00FA4608">
      <w:pPr>
        <w:pStyle w:val="Odstavecseseznamem"/>
        <w:ind w:left="360"/>
        <w:jc w:val="center"/>
        <w:rPr>
          <w:b/>
          <w:sz w:val="24"/>
          <w:szCs w:val="24"/>
        </w:rPr>
      </w:pPr>
    </w:p>
    <w:p w14:paraId="1E63C577" w14:textId="22394C3A" w:rsidR="00BF6DD7" w:rsidRDefault="00BF6DD7" w:rsidP="00BF6DD7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Papír, plasty, sklo, kovy, biologické odpady, jedlé oleje a tuky</w:t>
      </w:r>
      <w:r w:rsidR="002E51B1">
        <w:rPr>
          <w:sz w:val="24"/>
          <w:szCs w:val="24"/>
        </w:rPr>
        <w:t xml:space="preserve"> a textil</w:t>
      </w:r>
      <w:r>
        <w:rPr>
          <w:sz w:val="24"/>
          <w:szCs w:val="24"/>
        </w:rPr>
        <w:t xml:space="preserve"> se soustřeďují do zvláštních sběrných nádob, kterými jsou </w:t>
      </w:r>
      <w:r w:rsidR="005E679F">
        <w:rPr>
          <w:sz w:val="24"/>
          <w:szCs w:val="24"/>
        </w:rPr>
        <w:t>barevně odlišené</w:t>
      </w:r>
      <w:r>
        <w:rPr>
          <w:sz w:val="24"/>
          <w:szCs w:val="24"/>
        </w:rPr>
        <w:t xml:space="preserve"> kontejnery.</w:t>
      </w:r>
    </w:p>
    <w:p w14:paraId="749B1F2C" w14:textId="77777777" w:rsidR="00A63339" w:rsidRDefault="00A63339" w:rsidP="00A63339">
      <w:pPr>
        <w:pStyle w:val="Odstavecseseznamem"/>
        <w:ind w:left="360"/>
        <w:jc w:val="both"/>
        <w:rPr>
          <w:sz w:val="24"/>
          <w:szCs w:val="24"/>
        </w:rPr>
      </w:pPr>
    </w:p>
    <w:p w14:paraId="7E07DCFB" w14:textId="77777777" w:rsidR="00BF6DD7" w:rsidRDefault="00BF6DD7" w:rsidP="00BF6DD7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Zvláštní sběrné nádoby jsou barevně odlišeny a označeny příslušnými nápisy:</w:t>
      </w:r>
    </w:p>
    <w:p w14:paraId="0EB58F15" w14:textId="77777777" w:rsidR="00BF6DD7" w:rsidRDefault="00BF6DD7" w:rsidP="00BF6DD7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papír – barva modrá,</w:t>
      </w:r>
    </w:p>
    <w:p w14:paraId="663EE2E1" w14:textId="77777777" w:rsidR="00BF6DD7" w:rsidRDefault="00BF6DD7" w:rsidP="00BF6DD7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sklo barevné – barva zelená,</w:t>
      </w:r>
    </w:p>
    <w:p w14:paraId="1592D22B" w14:textId="77777777" w:rsidR="00BF6DD7" w:rsidRDefault="00BF6DD7" w:rsidP="00BF6DD7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sklo čiré – barva bílá,</w:t>
      </w:r>
    </w:p>
    <w:p w14:paraId="3C957BD6" w14:textId="77777777" w:rsidR="00BF6DD7" w:rsidRDefault="00BF6DD7" w:rsidP="00BF6DD7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plasty, PET lahve, nápojové kartony – barva žlutá,</w:t>
      </w:r>
    </w:p>
    <w:p w14:paraId="4DBC8DC5" w14:textId="77777777" w:rsidR="00BF6DD7" w:rsidRDefault="00BF6DD7" w:rsidP="00BF6DD7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drobné kovy – barva šedá,</w:t>
      </w:r>
    </w:p>
    <w:p w14:paraId="55978DEA" w14:textId="77777777" w:rsidR="00BF6DD7" w:rsidRDefault="00D5487D" w:rsidP="00BF6DD7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jedlé oleje a tuky</w:t>
      </w:r>
      <w:r w:rsidR="00A63339">
        <w:rPr>
          <w:sz w:val="24"/>
          <w:szCs w:val="24"/>
        </w:rPr>
        <w:t xml:space="preserve"> – černá plastová popelnice o velikosti 240 litrů s popisem,</w:t>
      </w:r>
    </w:p>
    <w:p w14:paraId="322C318F" w14:textId="62F9EB43" w:rsidR="00A63339" w:rsidRDefault="00A63339" w:rsidP="00BF6DD7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biologick</w:t>
      </w:r>
      <w:r w:rsidR="00D5487D">
        <w:rPr>
          <w:sz w:val="24"/>
          <w:szCs w:val="24"/>
        </w:rPr>
        <w:t>é</w:t>
      </w:r>
      <w:r>
        <w:rPr>
          <w:sz w:val="24"/>
          <w:szCs w:val="24"/>
        </w:rPr>
        <w:t xml:space="preserve"> odpad</w:t>
      </w:r>
      <w:r w:rsidR="00D5487D">
        <w:rPr>
          <w:sz w:val="24"/>
          <w:szCs w:val="24"/>
        </w:rPr>
        <w:t>y</w:t>
      </w:r>
      <w:r w:rsidR="002E51B1">
        <w:rPr>
          <w:sz w:val="24"/>
          <w:szCs w:val="24"/>
        </w:rPr>
        <w:t xml:space="preserve"> – kontejner,</w:t>
      </w:r>
    </w:p>
    <w:p w14:paraId="0E22AAAA" w14:textId="2D01BA25" w:rsidR="002E51B1" w:rsidRDefault="002E51B1" w:rsidP="00BF6DD7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textil -   </w:t>
      </w:r>
      <w:r w:rsidR="00945063">
        <w:rPr>
          <w:sz w:val="24"/>
          <w:szCs w:val="24"/>
        </w:rPr>
        <w:t>oranžový</w:t>
      </w:r>
      <w:r w:rsidR="003E71F3">
        <w:rPr>
          <w:sz w:val="24"/>
          <w:szCs w:val="24"/>
        </w:rPr>
        <w:t xml:space="preserve"> TEXTIL</w:t>
      </w:r>
    </w:p>
    <w:p w14:paraId="647615D6" w14:textId="77777777" w:rsidR="00BF6DD7" w:rsidRDefault="00BF6DD7" w:rsidP="00BF6DD7">
      <w:pPr>
        <w:pStyle w:val="Odstavecseseznamem"/>
        <w:ind w:left="360"/>
        <w:jc w:val="both"/>
        <w:rPr>
          <w:sz w:val="24"/>
          <w:szCs w:val="24"/>
        </w:rPr>
      </w:pPr>
    </w:p>
    <w:p w14:paraId="2130993F" w14:textId="77777777" w:rsidR="00BF6DD7" w:rsidRDefault="00BF6DD7" w:rsidP="00BF6DD7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Zvláštní sběrné nádoby jsou umístěny na těchto stanovištích:</w:t>
      </w:r>
    </w:p>
    <w:p w14:paraId="6073CBF1" w14:textId="77777777" w:rsidR="00BF6DD7" w:rsidRPr="00A95847" w:rsidRDefault="00BF6DD7" w:rsidP="00BF6DD7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obecního úřadu v ul. Tyršova: nádoba bílá, žlutá, zelená, šedá a na </w:t>
      </w:r>
      <w:r w:rsidR="00B0026D" w:rsidRPr="00A95847">
        <w:rPr>
          <w:sz w:val="24"/>
          <w:szCs w:val="24"/>
        </w:rPr>
        <w:t>jedlé oleje a tuky</w:t>
      </w:r>
      <w:r w:rsidRPr="00A95847">
        <w:rPr>
          <w:sz w:val="24"/>
          <w:szCs w:val="24"/>
        </w:rPr>
        <w:t>,</w:t>
      </w:r>
    </w:p>
    <w:p w14:paraId="5563D662" w14:textId="77777777" w:rsidR="00BF6DD7" w:rsidRDefault="00BF6DD7" w:rsidP="00BF6DD7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 začátku ul. Úzká: nádoba žlutá, zelená, modrá,</w:t>
      </w:r>
    </w:p>
    <w:p w14:paraId="722454C6" w14:textId="77777777" w:rsidR="00BF6DD7" w:rsidRDefault="00BF6DD7" w:rsidP="00BF6DD7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ve Finské ul.: nádoba žlutá, zelená</w:t>
      </w:r>
      <w:r w:rsidR="00167D6E">
        <w:rPr>
          <w:sz w:val="24"/>
          <w:szCs w:val="24"/>
        </w:rPr>
        <w:t>, modrá</w:t>
      </w:r>
      <w:r>
        <w:rPr>
          <w:sz w:val="24"/>
          <w:szCs w:val="24"/>
        </w:rPr>
        <w:t xml:space="preserve"> a na </w:t>
      </w:r>
      <w:r w:rsidR="00B0026D" w:rsidRPr="00A95847">
        <w:rPr>
          <w:sz w:val="24"/>
          <w:szCs w:val="24"/>
        </w:rPr>
        <w:t>jedlé oleje a tuky</w:t>
      </w:r>
      <w:r>
        <w:rPr>
          <w:sz w:val="24"/>
          <w:szCs w:val="24"/>
        </w:rPr>
        <w:t>,</w:t>
      </w:r>
    </w:p>
    <w:p w14:paraId="76D534B3" w14:textId="408722B6" w:rsidR="00BF6DD7" w:rsidRPr="00A95847" w:rsidRDefault="00BF6DD7" w:rsidP="00BF6DD7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v Dědičné ul.: nádoba bílá, žlutá, zelená</w:t>
      </w:r>
      <w:r w:rsidR="00CF78AC">
        <w:rPr>
          <w:sz w:val="24"/>
          <w:szCs w:val="24"/>
        </w:rPr>
        <w:t xml:space="preserve">, modrá </w:t>
      </w:r>
      <w:r>
        <w:rPr>
          <w:sz w:val="24"/>
          <w:szCs w:val="24"/>
        </w:rPr>
        <w:t xml:space="preserve">a </w:t>
      </w:r>
      <w:r w:rsidRPr="00A95847">
        <w:rPr>
          <w:sz w:val="24"/>
          <w:szCs w:val="24"/>
        </w:rPr>
        <w:t xml:space="preserve">na </w:t>
      </w:r>
      <w:r w:rsidR="00B0026D" w:rsidRPr="00A95847">
        <w:rPr>
          <w:sz w:val="24"/>
          <w:szCs w:val="24"/>
        </w:rPr>
        <w:t>jedlé oleje a tuky</w:t>
      </w:r>
      <w:r w:rsidRPr="00A95847">
        <w:rPr>
          <w:sz w:val="24"/>
          <w:szCs w:val="24"/>
        </w:rPr>
        <w:t>,</w:t>
      </w:r>
    </w:p>
    <w:p w14:paraId="6C53B222" w14:textId="77777777" w:rsidR="00BF6DD7" w:rsidRPr="00A95847" w:rsidRDefault="00BF6DD7" w:rsidP="00BF6DD7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křižovatka ul. Na Sídlišti a Hornické ul.: bílá, žlutá, modrá, zelená, šedá a na </w:t>
      </w:r>
      <w:r w:rsidR="00B0026D" w:rsidRPr="00A95847">
        <w:rPr>
          <w:sz w:val="24"/>
          <w:szCs w:val="24"/>
        </w:rPr>
        <w:t>jedlé oleje a tuky</w:t>
      </w:r>
      <w:r w:rsidRPr="00A95847">
        <w:rPr>
          <w:sz w:val="24"/>
          <w:szCs w:val="24"/>
        </w:rPr>
        <w:t>,</w:t>
      </w:r>
    </w:p>
    <w:p w14:paraId="61E5ACF9" w14:textId="5ABD3537" w:rsidR="00BF6DD7" w:rsidRDefault="00CF78AC" w:rsidP="00BF6DD7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Kunova ul.: žlutá, zelená</w:t>
      </w:r>
      <w:r w:rsidR="002E51B1">
        <w:rPr>
          <w:sz w:val="24"/>
          <w:szCs w:val="24"/>
        </w:rPr>
        <w:t xml:space="preserve">, </w:t>
      </w:r>
      <w:r>
        <w:rPr>
          <w:sz w:val="24"/>
          <w:szCs w:val="24"/>
        </w:rPr>
        <w:t>modrá</w:t>
      </w:r>
      <w:r w:rsidR="002E51B1">
        <w:rPr>
          <w:sz w:val="24"/>
          <w:szCs w:val="24"/>
        </w:rPr>
        <w:t>, šedá a textil</w:t>
      </w:r>
    </w:p>
    <w:p w14:paraId="4329B894" w14:textId="73B545DF" w:rsidR="00BF6DD7" w:rsidRDefault="00BF6DD7" w:rsidP="00BF6DD7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Boháčkova ul. – točna autobusu: žlutá, zelená,</w:t>
      </w:r>
      <w:r w:rsidR="002E51B1">
        <w:rPr>
          <w:sz w:val="24"/>
          <w:szCs w:val="24"/>
        </w:rPr>
        <w:t xml:space="preserve"> modrá,</w:t>
      </w:r>
    </w:p>
    <w:p w14:paraId="329AE3BA" w14:textId="64B808E7" w:rsidR="00BF6DD7" w:rsidRDefault="00BF6DD7" w:rsidP="00BF6DD7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Boháčkova ul. směrem k fotbalovému hřišti u ČOV: biologick</w:t>
      </w:r>
      <w:r w:rsidR="002E51B1">
        <w:rPr>
          <w:sz w:val="24"/>
          <w:szCs w:val="24"/>
        </w:rPr>
        <w:t>é odpady,</w:t>
      </w:r>
    </w:p>
    <w:p w14:paraId="4143E514" w14:textId="64DED42A" w:rsidR="002E51B1" w:rsidRDefault="002E51B1" w:rsidP="00BF6DD7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 </w:t>
      </w:r>
      <w:proofErr w:type="spellStart"/>
      <w:r>
        <w:rPr>
          <w:sz w:val="24"/>
          <w:szCs w:val="24"/>
        </w:rPr>
        <w:t>Chvojinkou</w:t>
      </w:r>
      <w:proofErr w:type="spellEnd"/>
      <w:r>
        <w:rPr>
          <w:sz w:val="24"/>
          <w:szCs w:val="24"/>
        </w:rPr>
        <w:t xml:space="preserve"> – žlutá, zelená, modrá, šedá,</w:t>
      </w:r>
    </w:p>
    <w:p w14:paraId="1B855371" w14:textId="6599498F" w:rsidR="002E51B1" w:rsidRDefault="002E51B1" w:rsidP="00BF6DD7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Pod Zdenkou – žlutá, zelená, modrá, šedá.</w:t>
      </w:r>
    </w:p>
    <w:p w14:paraId="7B1F27DD" w14:textId="77777777" w:rsidR="00A341E4" w:rsidRDefault="00A341E4" w:rsidP="00A341E4">
      <w:pPr>
        <w:pStyle w:val="Odstavecseseznamem"/>
        <w:jc w:val="both"/>
        <w:rPr>
          <w:sz w:val="24"/>
          <w:szCs w:val="24"/>
        </w:rPr>
      </w:pPr>
    </w:p>
    <w:p w14:paraId="75494C8E" w14:textId="77777777" w:rsidR="00A341E4" w:rsidRPr="00A341E4" w:rsidRDefault="00A341E4" w:rsidP="00A341E4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Jedlé oleje a tuky se ukládají do nádob v pevně uzavřených a neporušených PET lahvích.</w:t>
      </w:r>
    </w:p>
    <w:p w14:paraId="180AECC8" w14:textId="77777777" w:rsidR="00A63339" w:rsidRDefault="00A63339" w:rsidP="00A63339">
      <w:pPr>
        <w:pStyle w:val="Odstavecseseznamem"/>
        <w:jc w:val="both"/>
        <w:rPr>
          <w:sz w:val="24"/>
          <w:szCs w:val="24"/>
        </w:rPr>
      </w:pPr>
    </w:p>
    <w:p w14:paraId="762A7E9C" w14:textId="77777777" w:rsidR="00A63339" w:rsidRDefault="00A63339" w:rsidP="00A63339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Sběrná nádoba na objemný kov je umístěna na místě shromažďování tříděného odpadu na konci ul. Boháčkova směrem k fotbalovému hřišti u ČOV.</w:t>
      </w:r>
    </w:p>
    <w:p w14:paraId="57480B39" w14:textId="77777777" w:rsidR="00A63339" w:rsidRPr="00A63339" w:rsidRDefault="00A63339" w:rsidP="00A63339">
      <w:pPr>
        <w:pStyle w:val="Odstavecseseznamem"/>
        <w:ind w:left="360"/>
        <w:jc w:val="both"/>
        <w:rPr>
          <w:sz w:val="24"/>
          <w:szCs w:val="24"/>
        </w:rPr>
      </w:pPr>
    </w:p>
    <w:p w14:paraId="01E380EC" w14:textId="77777777" w:rsidR="00A63339" w:rsidRDefault="00A63339" w:rsidP="00A63339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A63339">
        <w:rPr>
          <w:sz w:val="24"/>
          <w:szCs w:val="24"/>
        </w:rPr>
        <w:t>Do zvláštních sběrných nádob je zakázáno ukládat jiné složky komunálních odpadů, než pro které jsou určeny.</w:t>
      </w:r>
    </w:p>
    <w:p w14:paraId="0FD590D7" w14:textId="77777777" w:rsidR="00A63339" w:rsidRDefault="00A63339" w:rsidP="00A63339">
      <w:pPr>
        <w:pStyle w:val="Odstavecseseznamem"/>
        <w:ind w:left="360"/>
        <w:jc w:val="both"/>
        <w:rPr>
          <w:sz w:val="24"/>
          <w:szCs w:val="24"/>
        </w:rPr>
      </w:pPr>
    </w:p>
    <w:p w14:paraId="0F2236F1" w14:textId="77777777" w:rsidR="00A63339" w:rsidRDefault="00A63339" w:rsidP="00A63339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A63339">
        <w:rPr>
          <w:sz w:val="24"/>
          <w:szCs w:val="24"/>
        </w:rPr>
        <w:t>Zvláštní sběrné nádoby je povinnost plnit tak, aby je bylo možno uzavřít a odpad z nich při manipulaci nevypadával. Pokud to umožňuje povaha odpadu, je nutno objem odpadu před jeho odložením do sběrné nádoby minimalizovat.</w:t>
      </w:r>
    </w:p>
    <w:p w14:paraId="2EA273D3" w14:textId="77777777" w:rsidR="00A63339" w:rsidRPr="00A63339" w:rsidRDefault="00A63339" w:rsidP="00A63339">
      <w:pPr>
        <w:pStyle w:val="Odstavecseseznamem"/>
        <w:rPr>
          <w:sz w:val="24"/>
          <w:szCs w:val="24"/>
        </w:rPr>
      </w:pPr>
    </w:p>
    <w:p w14:paraId="294228F1" w14:textId="77777777" w:rsidR="00A63339" w:rsidRDefault="00A63339" w:rsidP="00A63339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4</w:t>
      </w:r>
    </w:p>
    <w:p w14:paraId="6A295D5F" w14:textId="0C8A75C7" w:rsidR="00A63339" w:rsidRPr="00B0026D" w:rsidRDefault="00A63339" w:rsidP="00267B4E">
      <w:pPr>
        <w:spacing w:after="0"/>
        <w:jc w:val="center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>Svoz nebezpečných složek komunálního odpadu</w:t>
      </w:r>
      <w:r w:rsidR="00B0026D">
        <w:rPr>
          <w:b/>
          <w:sz w:val="24"/>
          <w:szCs w:val="24"/>
        </w:rPr>
        <w:t xml:space="preserve"> </w:t>
      </w:r>
    </w:p>
    <w:p w14:paraId="4FEFEBB7" w14:textId="77777777" w:rsidR="00273E61" w:rsidRDefault="00273E61" w:rsidP="00267B4E">
      <w:pPr>
        <w:spacing w:after="0"/>
        <w:jc w:val="center"/>
        <w:rPr>
          <w:b/>
          <w:sz w:val="24"/>
          <w:szCs w:val="24"/>
        </w:rPr>
      </w:pPr>
    </w:p>
    <w:p w14:paraId="42329C07" w14:textId="599982A5" w:rsidR="00A63339" w:rsidRDefault="00A63339" w:rsidP="00A63339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Svoz nebezpečných složek k</w:t>
      </w:r>
      <w:r w:rsidR="002E51B1">
        <w:rPr>
          <w:sz w:val="24"/>
          <w:szCs w:val="24"/>
        </w:rPr>
        <w:t xml:space="preserve">omunálního odpadu je zajišťován </w:t>
      </w:r>
      <w:r>
        <w:rPr>
          <w:sz w:val="24"/>
          <w:szCs w:val="24"/>
        </w:rPr>
        <w:t xml:space="preserve">dvakrát ročně jejich odebíráním na předem vyhlášených přechodných stanovištích přímo do zvláštních sběrných nádob k tomuto sběru určených. Informace o svozu jsou zveřejňovány </w:t>
      </w:r>
      <w:r w:rsidR="00B0026D" w:rsidRPr="00A95847">
        <w:rPr>
          <w:sz w:val="24"/>
          <w:szCs w:val="24"/>
        </w:rPr>
        <w:t xml:space="preserve">na </w:t>
      </w:r>
      <w:r>
        <w:rPr>
          <w:sz w:val="24"/>
          <w:szCs w:val="24"/>
        </w:rPr>
        <w:t>úřední desce obecního úřadu a jinými obvyklými způsoby.</w:t>
      </w:r>
    </w:p>
    <w:p w14:paraId="2A989C80" w14:textId="77777777" w:rsidR="00A63339" w:rsidRDefault="00A63339" w:rsidP="00A63339">
      <w:pPr>
        <w:pStyle w:val="Odstavecseseznamem"/>
        <w:ind w:left="360"/>
        <w:jc w:val="both"/>
        <w:rPr>
          <w:sz w:val="24"/>
          <w:szCs w:val="24"/>
        </w:rPr>
      </w:pPr>
    </w:p>
    <w:p w14:paraId="3BB899D1" w14:textId="0F4FB29A" w:rsidR="00A63339" w:rsidRDefault="00A63339" w:rsidP="00A63339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Soustřeďování nebezpečných složek komunálního odpadu podléhá požadavkům stanoveným v </w:t>
      </w:r>
      <w:r w:rsidR="00064122">
        <w:rPr>
          <w:sz w:val="24"/>
          <w:szCs w:val="24"/>
        </w:rPr>
        <w:t>č</w:t>
      </w:r>
      <w:r>
        <w:rPr>
          <w:sz w:val="24"/>
          <w:szCs w:val="24"/>
        </w:rPr>
        <w:t>l.</w:t>
      </w:r>
      <w:r w:rsidR="00A341E4">
        <w:rPr>
          <w:sz w:val="24"/>
          <w:szCs w:val="24"/>
        </w:rPr>
        <w:t xml:space="preserve"> 3 odst. 7</w:t>
      </w:r>
      <w:r>
        <w:rPr>
          <w:sz w:val="24"/>
          <w:szCs w:val="24"/>
        </w:rPr>
        <w:t>.</w:t>
      </w:r>
    </w:p>
    <w:p w14:paraId="33F1AD0F" w14:textId="77777777" w:rsidR="000E5C63" w:rsidRPr="000E5C63" w:rsidRDefault="000E5C63" w:rsidP="000E5C63">
      <w:pPr>
        <w:pStyle w:val="Odstavecseseznamem"/>
        <w:rPr>
          <w:sz w:val="24"/>
          <w:szCs w:val="24"/>
        </w:rPr>
      </w:pPr>
    </w:p>
    <w:p w14:paraId="5988F2E3" w14:textId="77777777" w:rsidR="000E5C63" w:rsidRDefault="000E5C63" w:rsidP="000E5C63">
      <w:pPr>
        <w:pStyle w:val="Odstavecseseznamem"/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5</w:t>
      </w:r>
    </w:p>
    <w:p w14:paraId="75DAD184" w14:textId="77777777" w:rsidR="00D5487D" w:rsidRDefault="00D5487D" w:rsidP="000E5C63">
      <w:pPr>
        <w:pStyle w:val="Odstavecseseznamem"/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Nakládání s výrobky s ukončenou životností v rámci služby pro výrobce </w:t>
      </w:r>
    </w:p>
    <w:p w14:paraId="66A4BA19" w14:textId="77777777" w:rsidR="00D5487D" w:rsidRDefault="00D5487D" w:rsidP="00D5487D">
      <w:pPr>
        <w:pStyle w:val="Odstavecseseznamem"/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(zpětný odběr)</w:t>
      </w:r>
    </w:p>
    <w:p w14:paraId="588448BE" w14:textId="77777777" w:rsidR="00D5487D" w:rsidRDefault="00D5487D" w:rsidP="000E5C63">
      <w:pPr>
        <w:pStyle w:val="Odstavecseseznamem"/>
        <w:ind w:left="360"/>
        <w:jc w:val="center"/>
        <w:rPr>
          <w:b/>
          <w:sz w:val="24"/>
          <w:szCs w:val="24"/>
        </w:rPr>
      </w:pPr>
    </w:p>
    <w:p w14:paraId="65E77DEF" w14:textId="77777777" w:rsidR="00D5487D" w:rsidRDefault="00D5487D" w:rsidP="00D5487D">
      <w:pPr>
        <w:pStyle w:val="Odstavecseseznamem"/>
        <w:numPr>
          <w:ilvl w:val="0"/>
          <w:numId w:val="22"/>
        </w:numPr>
        <w:rPr>
          <w:sz w:val="24"/>
          <w:szCs w:val="24"/>
        </w:rPr>
      </w:pPr>
      <w:r w:rsidRPr="00D5487D">
        <w:rPr>
          <w:sz w:val="24"/>
          <w:szCs w:val="24"/>
        </w:rPr>
        <w:t>Obec v</w:t>
      </w:r>
      <w:r>
        <w:rPr>
          <w:sz w:val="24"/>
          <w:szCs w:val="24"/>
        </w:rPr>
        <w:t> </w:t>
      </w:r>
      <w:r w:rsidRPr="00D5487D">
        <w:rPr>
          <w:sz w:val="24"/>
          <w:szCs w:val="24"/>
        </w:rPr>
        <w:t>rámci</w:t>
      </w:r>
      <w:r>
        <w:rPr>
          <w:sz w:val="24"/>
          <w:szCs w:val="24"/>
        </w:rPr>
        <w:t xml:space="preserve"> služby pro výrobce nakládá s těmito výrobky s ukončenou životností:</w:t>
      </w:r>
    </w:p>
    <w:p w14:paraId="7CD71CA7" w14:textId="77777777" w:rsidR="00D5487D" w:rsidRDefault="00D5487D" w:rsidP="00D5487D">
      <w:pPr>
        <w:pStyle w:val="Odstavecseseznamem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elektrozařízení,</w:t>
      </w:r>
    </w:p>
    <w:p w14:paraId="637322E9" w14:textId="77777777" w:rsidR="00D5487D" w:rsidRDefault="00D5487D" w:rsidP="00D5487D">
      <w:pPr>
        <w:pStyle w:val="Odstavecseseznamem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baterie</w:t>
      </w:r>
    </w:p>
    <w:p w14:paraId="530F2261" w14:textId="77777777" w:rsidR="00E54DDA" w:rsidRDefault="00E54DDA" w:rsidP="00E54DDA">
      <w:pPr>
        <w:pStyle w:val="Odstavecseseznamem"/>
        <w:rPr>
          <w:sz w:val="24"/>
          <w:szCs w:val="24"/>
        </w:rPr>
      </w:pPr>
    </w:p>
    <w:p w14:paraId="06A6C5FF" w14:textId="77777777" w:rsidR="00D5487D" w:rsidRDefault="00E54DDA" w:rsidP="00E54DDA">
      <w:pPr>
        <w:pStyle w:val="Odstavecseseznamem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Výrobky s ukončenou životností uvedené v odst. 1 lze předávat na obecním úřadě nebo před budovou obecního úřadu do nádoby s názvem „Sběrný box vysloužilých elektrozařízení a baterií“.</w:t>
      </w:r>
    </w:p>
    <w:p w14:paraId="47068A8C" w14:textId="77777777" w:rsidR="00E54DDA" w:rsidRDefault="00E54DDA" w:rsidP="00E54DDA">
      <w:pPr>
        <w:pStyle w:val="Odstavecseseznamem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</w:t>
      </w:r>
    </w:p>
    <w:p w14:paraId="60FDFE90" w14:textId="77777777" w:rsidR="00E54DDA" w:rsidRDefault="00E54DDA" w:rsidP="00E54DDA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6</w:t>
      </w:r>
    </w:p>
    <w:p w14:paraId="0B1BD520" w14:textId="77777777" w:rsidR="00E54DDA" w:rsidRDefault="00E54DDA" w:rsidP="00E54DDA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Svoz objemného odpadu</w:t>
      </w:r>
    </w:p>
    <w:p w14:paraId="45CBD4F0" w14:textId="77777777" w:rsidR="00E54DDA" w:rsidRDefault="00E54DDA" w:rsidP="00E54DDA">
      <w:pPr>
        <w:spacing w:after="0"/>
        <w:jc w:val="center"/>
        <w:rPr>
          <w:b/>
          <w:sz w:val="24"/>
          <w:szCs w:val="24"/>
        </w:rPr>
      </w:pPr>
    </w:p>
    <w:p w14:paraId="37B4CA63" w14:textId="77777777" w:rsidR="000E5C63" w:rsidRDefault="000E5C63" w:rsidP="00267B4E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Svoz objemného odpadu je zajišťován dvakrát ročně jeho odebíráním na předem vyhlášených přechodných stanovištích přímo do zvláštních sběrných nádob k tomuto účelu určených. Informace o sběru jsou zveřejňovány na úřední desce obecního úřadu a jinými obvyklými způsoby.</w:t>
      </w:r>
    </w:p>
    <w:p w14:paraId="2DC51195" w14:textId="77777777" w:rsidR="000E5C63" w:rsidRDefault="000E5C63" w:rsidP="000E5C63">
      <w:pPr>
        <w:pStyle w:val="Odstavecseseznamem"/>
        <w:jc w:val="both"/>
        <w:rPr>
          <w:sz w:val="24"/>
          <w:szCs w:val="24"/>
        </w:rPr>
      </w:pPr>
    </w:p>
    <w:p w14:paraId="7C403DE4" w14:textId="73496F62" w:rsidR="000E5C63" w:rsidRDefault="000E5C63" w:rsidP="000E5C63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Soustřeďování objemného odpadu podléhá požadavkům stanoveným v </w:t>
      </w:r>
      <w:r w:rsidR="00064122">
        <w:rPr>
          <w:sz w:val="24"/>
          <w:szCs w:val="24"/>
        </w:rPr>
        <w:t>č</w:t>
      </w:r>
      <w:r>
        <w:rPr>
          <w:sz w:val="24"/>
          <w:szCs w:val="24"/>
        </w:rPr>
        <w:t>l. 3</w:t>
      </w:r>
      <w:r w:rsidR="002E51B1">
        <w:rPr>
          <w:sz w:val="24"/>
          <w:szCs w:val="24"/>
        </w:rPr>
        <w:t xml:space="preserve"> odst. 7.</w:t>
      </w:r>
    </w:p>
    <w:p w14:paraId="47935FF2" w14:textId="77777777" w:rsidR="00273E61" w:rsidRPr="00273E61" w:rsidRDefault="00273E61" w:rsidP="00273E61">
      <w:pPr>
        <w:pStyle w:val="Odstavecseseznamem"/>
        <w:rPr>
          <w:sz w:val="24"/>
          <w:szCs w:val="24"/>
        </w:rPr>
      </w:pPr>
    </w:p>
    <w:p w14:paraId="7BD49429" w14:textId="77777777" w:rsidR="000E5C63" w:rsidRDefault="000E5C63" w:rsidP="000E5C63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Čl. </w:t>
      </w:r>
      <w:r w:rsidR="00E54DDA">
        <w:rPr>
          <w:b/>
          <w:sz w:val="24"/>
          <w:szCs w:val="24"/>
        </w:rPr>
        <w:t>7</w:t>
      </w:r>
    </w:p>
    <w:p w14:paraId="2544F384" w14:textId="77777777" w:rsidR="000E5C63" w:rsidRDefault="000E5C63" w:rsidP="00267B4E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Soustřeďování směsného komunálního odpadu</w:t>
      </w:r>
    </w:p>
    <w:p w14:paraId="613EC3ED" w14:textId="77777777" w:rsidR="00273E61" w:rsidRDefault="00273E61" w:rsidP="00267B4E">
      <w:pPr>
        <w:spacing w:after="0"/>
        <w:jc w:val="center"/>
        <w:rPr>
          <w:b/>
          <w:sz w:val="24"/>
          <w:szCs w:val="24"/>
        </w:rPr>
      </w:pPr>
    </w:p>
    <w:p w14:paraId="3FEF450C" w14:textId="77777777" w:rsidR="000E5C63" w:rsidRDefault="000E5C63" w:rsidP="000E5C63">
      <w:pPr>
        <w:pStyle w:val="Odstavecseseznamem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Směsný komunální odpad se odkládá do sběrných nádob. Pro účely této vyhlášky se sběrnými nádobami rozumějí:</w:t>
      </w:r>
    </w:p>
    <w:p w14:paraId="5938B10E" w14:textId="77777777" w:rsidR="000E5C63" w:rsidRDefault="000E5C63" w:rsidP="000E5C63">
      <w:pPr>
        <w:pStyle w:val="Odstavecseseznamem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typizované sběrné nádoby jako jsou popelnice o objemu 110/120 litrů a 240 litrů označené </w:t>
      </w:r>
      <w:r w:rsidR="00182FC6">
        <w:rPr>
          <w:sz w:val="24"/>
          <w:szCs w:val="24"/>
        </w:rPr>
        <w:t xml:space="preserve">barevným </w:t>
      </w:r>
      <w:r>
        <w:rPr>
          <w:sz w:val="24"/>
          <w:szCs w:val="24"/>
        </w:rPr>
        <w:t xml:space="preserve">štítkem </w:t>
      </w:r>
      <w:r w:rsidR="00182FC6">
        <w:rPr>
          <w:sz w:val="24"/>
          <w:szCs w:val="24"/>
        </w:rPr>
        <w:t>s názvem obce Nový Jáchymov a logem AVE pro pot</w:t>
      </w:r>
      <w:r>
        <w:rPr>
          <w:sz w:val="24"/>
          <w:szCs w:val="24"/>
        </w:rPr>
        <w:t>řeby svozu,</w:t>
      </w:r>
    </w:p>
    <w:p w14:paraId="6EED3BCD" w14:textId="0C4C5790" w:rsidR="000E5C63" w:rsidRDefault="000E5C63" w:rsidP="000E5C63">
      <w:pPr>
        <w:pStyle w:val="Odstavecseseznamem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odpadkové koše, které jsou umístěny na veřejných prostranstvích v obci, sloužící pro odkládání drobn</w:t>
      </w:r>
      <w:r w:rsidR="002E51B1">
        <w:rPr>
          <w:sz w:val="24"/>
          <w:szCs w:val="24"/>
        </w:rPr>
        <w:t>ého směsného komunálního odpadu,</w:t>
      </w:r>
    </w:p>
    <w:p w14:paraId="3918ED17" w14:textId="272EC1C0" w:rsidR="002E51B1" w:rsidRDefault="002E51B1" w:rsidP="000E5C63">
      <w:pPr>
        <w:pStyle w:val="Odstavecseseznamem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typizované sběrné nádoby černé barvy o velikosti 1100 l, které jsou umístěny v Boháčkově ulici na sběrném místě u ČOV směrem k fotbalovému hřišti.</w:t>
      </w:r>
    </w:p>
    <w:p w14:paraId="1E1C1FE3" w14:textId="77777777" w:rsidR="000E5C63" w:rsidRDefault="000E5C63" w:rsidP="000E5C63">
      <w:pPr>
        <w:pStyle w:val="Odstavecseseznamem"/>
        <w:jc w:val="both"/>
        <w:rPr>
          <w:sz w:val="24"/>
          <w:szCs w:val="24"/>
        </w:rPr>
      </w:pPr>
    </w:p>
    <w:p w14:paraId="37FFF70C" w14:textId="1ABE8262" w:rsidR="000E5C63" w:rsidRDefault="000E5C63" w:rsidP="000E5C63">
      <w:pPr>
        <w:pStyle w:val="Odstavecseseznamem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Soustřeďování směsného komunálního odpadu podléhá požadavkům stanoveným v </w:t>
      </w:r>
      <w:r w:rsidR="00064122">
        <w:rPr>
          <w:sz w:val="24"/>
          <w:szCs w:val="24"/>
        </w:rPr>
        <w:t>č</w:t>
      </w:r>
      <w:r>
        <w:rPr>
          <w:sz w:val="24"/>
          <w:szCs w:val="24"/>
        </w:rPr>
        <w:t>l.</w:t>
      </w:r>
      <w:r w:rsidR="00A341E4">
        <w:rPr>
          <w:sz w:val="24"/>
          <w:szCs w:val="24"/>
        </w:rPr>
        <w:t xml:space="preserve"> 3 odst. 7</w:t>
      </w:r>
      <w:r w:rsidR="002E51B1">
        <w:rPr>
          <w:sz w:val="24"/>
          <w:szCs w:val="24"/>
        </w:rPr>
        <w:t>.</w:t>
      </w:r>
    </w:p>
    <w:p w14:paraId="0E00A208" w14:textId="4F057C30" w:rsidR="00A341E4" w:rsidRDefault="00A341E4" w:rsidP="003E71F3">
      <w:pPr>
        <w:pStyle w:val="Odstavecseseznamem"/>
        <w:ind w:left="360"/>
        <w:jc w:val="both"/>
        <w:rPr>
          <w:sz w:val="24"/>
          <w:szCs w:val="24"/>
        </w:rPr>
      </w:pPr>
    </w:p>
    <w:p w14:paraId="4954B96A" w14:textId="04DF075C" w:rsidR="00A341E4" w:rsidRDefault="00A341E4" w:rsidP="00A341E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Čl. </w:t>
      </w:r>
      <w:r w:rsidR="003E71F3">
        <w:rPr>
          <w:b/>
          <w:sz w:val="24"/>
          <w:szCs w:val="24"/>
        </w:rPr>
        <w:t>8</w:t>
      </w:r>
    </w:p>
    <w:p w14:paraId="5259ED4D" w14:textId="77777777" w:rsidR="00A341E4" w:rsidRDefault="0082444A" w:rsidP="00267B4E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Svoz biologicky rozložitelného odpadu rostlinného původu</w:t>
      </w:r>
    </w:p>
    <w:p w14:paraId="5EF17BFC" w14:textId="77777777" w:rsidR="00267B4E" w:rsidRDefault="00267B4E" w:rsidP="00267B4E">
      <w:pPr>
        <w:spacing w:after="0"/>
        <w:jc w:val="center"/>
        <w:rPr>
          <w:b/>
          <w:sz w:val="24"/>
          <w:szCs w:val="24"/>
        </w:rPr>
      </w:pPr>
    </w:p>
    <w:p w14:paraId="712E6AA7" w14:textId="1B4B662D" w:rsidR="00267B4E" w:rsidRDefault="0082444A" w:rsidP="0082444A">
      <w:pPr>
        <w:pStyle w:val="Odstavecseseznamem"/>
        <w:numPr>
          <w:ilvl w:val="0"/>
          <w:numId w:val="17"/>
        </w:numPr>
        <w:jc w:val="both"/>
        <w:rPr>
          <w:sz w:val="24"/>
          <w:szCs w:val="24"/>
        </w:rPr>
      </w:pPr>
      <w:r w:rsidRPr="0082444A">
        <w:rPr>
          <w:sz w:val="24"/>
          <w:szCs w:val="24"/>
        </w:rPr>
        <w:t xml:space="preserve">Biologicky rozložitelným odpadem je odpad rostlinného původu (např. zbytky zeleniny, potravin, kávové sedliny, čaje, posečená tráva, drobné větvičky ze stromů, </w:t>
      </w:r>
      <w:proofErr w:type="spellStart"/>
      <w:r w:rsidRPr="0082444A">
        <w:rPr>
          <w:sz w:val="24"/>
          <w:szCs w:val="24"/>
        </w:rPr>
        <w:t>rozštěp</w:t>
      </w:r>
      <w:r w:rsidR="009A676F">
        <w:rPr>
          <w:sz w:val="24"/>
          <w:szCs w:val="24"/>
        </w:rPr>
        <w:t>k</w:t>
      </w:r>
      <w:r w:rsidRPr="0082444A">
        <w:rPr>
          <w:sz w:val="24"/>
          <w:szCs w:val="24"/>
        </w:rPr>
        <w:t>ované</w:t>
      </w:r>
      <w:proofErr w:type="spellEnd"/>
      <w:r w:rsidRPr="0082444A">
        <w:rPr>
          <w:sz w:val="24"/>
          <w:szCs w:val="24"/>
        </w:rPr>
        <w:t xml:space="preserve"> dřeviny atd.)</w:t>
      </w:r>
      <w:r>
        <w:rPr>
          <w:sz w:val="24"/>
          <w:szCs w:val="24"/>
        </w:rPr>
        <w:t>.</w:t>
      </w:r>
    </w:p>
    <w:p w14:paraId="1CBE8F64" w14:textId="77777777" w:rsidR="0082444A" w:rsidRDefault="0082444A" w:rsidP="0082444A">
      <w:pPr>
        <w:pStyle w:val="Odstavecseseznamem"/>
        <w:ind w:left="360"/>
        <w:jc w:val="both"/>
        <w:rPr>
          <w:sz w:val="24"/>
          <w:szCs w:val="24"/>
        </w:rPr>
      </w:pPr>
    </w:p>
    <w:p w14:paraId="558FB995" w14:textId="77777777" w:rsidR="0082444A" w:rsidRDefault="0082444A" w:rsidP="0082444A">
      <w:pPr>
        <w:pStyle w:val="Odstavecseseznamem"/>
        <w:numPr>
          <w:ilvl w:val="0"/>
          <w:numId w:val="17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Sběr biologicky rozložitelného odpadu je zajišťován velkoobjemovým kontejnerem v ulici Boháčkova směrem k fotbalovému hřišti u ČOV.</w:t>
      </w:r>
    </w:p>
    <w:p w14:paraId="05CF6332" w14:textId="77777777" w:rsidR="00393897" w:rsidRPr="00393897" w:rsidRDefault="00393897" w:rsidP="00393897">
      <w:pPr>
        <w:pStyle w:val="Odstavecseseznamem"/>
        <w:rPr>
          <w:sz w:val="24"/>
          <w:szCs w:val="24"/>
        </w:rPr>
      </w:pPr>
    </w:p>
    <w:p w14:paraId="36FFB49F" w14:textId="27E3FE35" w:rsidR="002E51B1" w:rsidRPr="002E51B1" w:rsidRDefault="0082444A" w:rsidP="002E51B1">
      <w:pPr>
        <w:pStyle w:val="Odstavecseseznamem"/>
        <w:numPr>
          <w:ilvl w:val="0"/>
          <w:numId w:val="17"/>
        </w:numPr>
        <w:jc w:val="both"/>
        <w:rPr>
          <w:sz w:val="24"/>
          <w:szCs w:val="24"/>
        </w:rPr>
      </w:pPr>
      <w:r w:rsidRPr="002E51B1">
        <w:rPr>
          <w:sz w:val="24"/>
          <w:szCs w:val="24"/>
        </w:rPr>
        <w:t>Shromažďování biologicky rozložitelného odpadu podléhá požadavkům stanoveným v </w:t>
      </w:r>
      <w:r w:rsidR="00064122">
        <w:rPr>
          <w:sz w:val="24"/>
          <w:szCs w:val="24"/>
        </w:rPr>
        <w:t>č</w:t>
      </w:r>
      <w:r w:rsidRPr="002E51B1">
        <w:rPr>
          <w:sz w:val="24"/>
          <w:szCs w:val="24"/>
        </w:rPr>
        <w:t>l. 3 odst. 7</w:t>
      </w:r>
      <w:r w:rsidR="002E51B1" w:rsidRPr="002E51B1">
        <w:rPr>
          <w:sz w:val="24"/>
          <w:szCs w:val="24"/>
        </w:rPr>
        <w:t>.</w:t>
      </w:r>
    </w:p>
    <w:p w14:paraId="5CA947F9" w14:textId="6289F86C" w:rsidR="00267B4E" w:rsidRDefault="00267B4E" w:rsidP="00267B4E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Čl. </w:t>
      </w:r>
      <w:r w:rsidR="003E71F3">
        <w:rPr>
          <w:b/>
          <w:sz w:val="24"/>
          <w:szCs w:val="24"/>
        </w:rPr>
        <w:t>9</w:t>
      </w:r>
    </w:p>
    <w:p w14:paraId="653B1164" w14:textId="77777777" w:rsidR="00267B4E" w:rsidRDefault="00267B4E" w:rsidP="00273E61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Nakládání se stavebním a demoličním odpadem</w:t>
      </w:r>
    </w:p>
    <w:p w14:paraId="261725C9" w14:textId="77777777" w:rsidR="00273E61" w:rsidRDefault="00273E61" w:rsidP="00273E61">
      <w:pPr>
        <w:spacing w:after="0"/>
        <w:jc w:val="center"/>
        <w:rPr>
          <w:b/>
          <w:sz w:val="24"/>
          <w:szCs w:val="24"/>
        </w:rPr>
      </w:pPr>
    </w:p>
    <w:p w14:paraId="61115E8B" w14:textId="77777777" w:rsidR="00267B4E" w:rsidRDefault="00267B4E" w:rsidP="00267B4E">
      <w:pPr>
        <w:pStyle w:val="Odstavecseseznamem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Stavebním odpadem a demoličním odpadem se rozumí odpad vznikající při stavebních a demoličních činnostech nepodnikajících fyzických osob. Stavební a demoliční odpad není odpadem komunálním.</w:t>
      </w:r>
    </w:p>
    <w:p w14:paraId="7264E21F" w14:textId="77777777" w:rsidR="0082444A" w:rsidRPr="0082444A" w:rsidRDefault="00267B4E" w:rsidP="0082444A">
      <w:pPr>
        <w:pStyle w:val="Odstavecseseznamem"/>
        <w:numPr>
          <w:ilvl w:val="0"/>
          <w:numId w:val="15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Stavební odpad lze použít, předat či odstranit pouze zákonem stanoveným způsobem.</w:t>
      </w:r>
    </w:p>
    <w:p w14:paraId="2343A11F" w14:textId="77777777" w:rsidR="0082444A" w:rsidRPr="0082444A" w:rsidRDefault="0082444A" w:rsidP="0082444A">
      <w:pPr>
        <w:pStyle w:val="Odstavecseseznamem"/>
        <w:ind w:left="360"/>
        <w:jc w:val="both"/>
        <w:rPr>
          <w:sz w:val="24"/>
          <w:szCs w:val="24"/>
        </w:rPr>
      </w:pPr>
    </w:p>
    <w:p w14:paraId="7488DE6D" w14:textId="77777777" w:rsidR="00267B4E" w:rsidRDefault="00267B4E" w:rsidP="00267B4E">
      <w:pPr>
        <w:pStyle w:val="Odstavecseseznamem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Likvidaci stavebního a demoličního odpadu si osoba provádějící činnost, při které tento odpad vznikl, zajišťuje na svoje náklady v souladu se zákonem.</w:t>
      </w:r>
    </w:p>
    <w:p w14:paraId="4D75208D" w14:textId="77777777" w:rsidR="000B030F" w:rsidRPr="000B030F" w:rsidRDefault="000B030F" w:rsidP="000B030F">
      <w:pPr>
        <w:pStyle w:val="Odstavecseseznamem"/>
        <w:rPr>
          <w:sz w:val="24"/>
          <w:szCs w:val="24"/>
        </w:rPr>
      </w:pPr>
    </w:p>
    <w:p w14:paraId="5137318F" w14:textId="77777777" w:rsidR="000B030F" w:rsidRDefault="000B030F" w:rsidP="000B030F">
      <w:pPr>
        <w:pStyle w:val="Odstavecseseznamem"/>
        <w:ind w:left="360"/>
        <w:jc w:val="both"/>
        <w:rPr>
          <w:sz w:val="24"/>
          <w:szCs w:val="24"/>
        </w:rPr>
      </w:pPr>
    </w:p>
    <w:p w14:paraId="41C9F655" w14:textId="0B798CBC" w:rsidR="00267B4E" w:rsidRDefault="00267B4E" w:rsidP="00267B4E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1</w:t>
      </w:r>
      <w:r w:rsidR="003E71F3">
        <w:rPr>
          <w:b/>
          <w:sz w:val="24"/>
          <w:szCs w:val="24"/>
        </w:rPr>
        <w:t>0</w:t>
      </w:r>
    </w:p>
    <w:p w14:paraId="7BFBE2BB" w14:textId="77777777" w:rsidR="00267B4E" w:rsidRDefault="00267B4E" w:rsidP="00273E61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Závěrečná ustanovení</w:t>
      </w:r>
    </w:p>
    <w:p w14:paraId="0936278F" w14:textId="77777777" w:rsidR="00273E61" w:rsidRDefault="00273E61" w:rsidP="00273E61">
      <w:pPr>
        <w:spacing w:after="0"/>
        <w:jc w:val="center"/>
        <w:rPr>
          <w:b/>
          <w:sz w:val="24"/>
          <w:szCs w:val="24"/>
        </w:rPr>
      </w:pPr>
    </w:p>
    <w:p w14:paraId="7D9843BB" w14:textId="5E3E61F4" w:rsidR="00267B4E" w:rsidRDefault="00267B4E" w:rsidP="00267B4E">
      <w:pPr>
        <w:pStyle w:val="Odstavecseseznamem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Nabytím účinnosti této vyhlášky se zrušuje obecně závazná vyhláška obce Nový Jáchymov č. </w:t>
      </w:r>
      <w:r w:rsidR="003E71F3">
        <w:rPr>
          <w:sz w:val="24"/>
          <w:szCs w:val="24"/>
        </w:rPr>
        <w:t>1</w:t>
      </w:r>
      <w:r>
        <w:rPr>
          <w:sz w:val="24"/>
          <w:szCs w:val="24"/>
        </w:rPr>
        <w:t>/202</w:t>
      </w:r>
      <w:r w:rsidR="003E71F3">
        <w:rPr>
          <w:sz w:val="24"/>
          <w:szCs w:val="24"/>
        </w:rPr>
        <w:t>1</w:t>
      </w:r>
      <w:r>
        <w:rPr>
          <w:sz w:val="24"/>
          <w:szCs w:val="24"/>
        </w:rPr>
        <w:t xml:space="preserve"> o stanovení </w:t>
      </w:r>
      <w:r w:rsidR="003E71F3">
        <w:rPr>
          <w:sz w:val="24"/>
          <w:szCs w:val="24"/>
        </w:rPr>
        <w:t>obecního odpadového hospodářství, která byla schválena dne 14. prosince 2021</w:t>
      </w:r>
      <w:r>
        <w:rPr>
          <w:sz w:val="24"/>
          <w:szCs w:val="24"/>
        </w:rPr>
        <w:t>.</w:t>
      </w:r>
    </w:p>
    <w:p w14:paraId="556B5245" w14:textId="77777777" w:rsidR="00267B4E" w:rsidRDefault="00267B4E" w:rsidP="00267B4E">
      <w:pPr>
        <w:pStyle w:val="Odstavecseseznamem"/>
        <w:ind w:left="360"/>
        <w:jc w:val="both"/>
        <w:rPr>
          <w:sz w:val="24"/>
          <w:szCs w:val="24"/>
        </w:rPr>
      </w:pPr>
    </w:p>
    <w:p w14:paraId="11400C4B" w14:textId="634580AE" w:rsidR="00267B4E" w:rsidRDefault="00267B4E" w:rsidP="00267B4E">
      <w:pPr>
        <w:pStyle w:val="Odstavecseseznamem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Tato </w:t>
      </w:r>
      <w:r w:rsidR="009A676F">
        <w:rPr>
          <w:sz w:val="24"/>
          <w:szCs w:val="24"/>
        </w:rPr>
        <w:t xml:space="preserve">obecně závazná </w:t>
      </w:r>
      <w:r>
        <w:rPr>
          <w:sz w:val="24"/>
          <w:szCs w:val="24"/>
        </w:rPr>
        <w:t>vyhláška nabývá účinnost</w:t>
      </w:r>
      <w:r w:rsidR="009A676F">
        <w:rPr>
          <w:sz w:val="24"/>
          <w:szCs w:val="24"/>
        </w:rPr>
        <w:t xml:space="preserve">i </w:t>
      </w:r>
      <w:r w:rsidR="000B030F">
        <w:rPr>
          <w:sz w:val="24"/>
          <w:szCs w:val="24"/>
        </w:rPr>
        <w:t xml:space="preserve">dne </w:t>
      </w:r>
      <w:r w:rsidR="00A16186">
        <w:rPr>
          <w:sz w:val="24"/>
          <w:szCs w:val="24"/>
        </w:rPr>
        <w:t>15.4.2026</w:t>
      </w:r>
      <w:r w:rsidR="009A676F">
        <w:rPr>
          <w:sz w:val="24"/>
          <w:szCs w:val="24"/>
        </w:rPr>
        <w:t>.</w:t>
      </w:r>
    </w:p>
    <w:p w14:paraId="612449F3" w14:textId="77777777" w:rsidR="00182FC6" w:rsidRPr="00182FC6" w:rsidRDefault="00182FC6" w:rsidP="00182FC6">
      <w:pPr>
        <w:pStyle w:val="Odstavecseseznamem"/>
        <w:rPr>
          <w:sz w:val="24"/>
          <w:szCs w:val="24"/>
        </w:rPr>
      </w:pPr>
    </w:p>
    <w:p w14:paraId="4835CBAA" w14:textId="77777777" w:rsidR="00182FC6" w:rsidRPr="00182FC6" w:rsidRDefault="00182FC6" w:rsidP="00182FC6">
      <w:pPr>
        <w:jc w:val="both"/>
        <w:rPr>
          <w:sz w:val="24"/>
          <w:szCs w:val="24"/>
        </w:rPr>
      </w:pPr>
    </w:p>
    <w:p w14:paraId="52D3112C" w14:textId="77777777" w:rsidR="00273E61" w:rsidRPr="00273E61" w:rsidRDefault="00273E61" w:rsidP="00273E61">
      <w:pPr>
        <w:pStyle w:val="Odstavecseseznamem"/>
        <w:rPr>
          <w:sz w:val="24"/>
          <w:szCs w:val="24"/>
        </w:rPr>
      </w:pPr>
    </w:p>
    <w:p w14:paraId="0646ABB7" w14:textId="77777777" w:rsidR="00273E61" w:rsidRDefault="00273E61" w:rsidP="00273E61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………………………………...........</w:t>
      </w:r>
    </w:p>
    <w:p w14:paraId="60364014" w14:textId="6D0C6D9B" w:rsidR="00273E61" w:rsidRDefault="002E51B1" w:rsidP="00273E61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Karel Marcel</w:t>
      </w:r>
      <w:r w:rsidR="00273E61">
        <w:rPr>
          <w:sz w:val="24"/>
          <w:szCs w:val="24"/>
        </w:rPr>
        <w:tab/>
      </w:r>
      <w:r w:rsidR="00273E61">
        <w:rPr>
          <w:sz w:val="24"/>
          <w:szCs w:val="24"/>
        </w:rPr>
        <w:tab/>
      </w:r>
      <w:r w:rsidR="00273E61">
        <w:rPr>
          <w:sz w:val="24"/>
          <w:szCs w:val="24"/>
        </w:rPr>
        <w:tab/>
      </w:r>
      <w:r w:rsidR="00273E61">
        <w:rPr>
          <w:sz w:val="24"/>
          <w:szCs w:val="24"/>
        </w:rPr>
        <w:tab/>
      </w:r>
      <w:r w:rsidR="00273E61">
        <w:rPr>
          <w:sz w:val="24"/>
          <w:szCs w:val="24"/>
        </w:rPr>
        <w:tab/>
      </w:r>
      <w:r w:rsidR="00273E61">
        <w:rPr>
          <w:sz w:val="24"/>
          <w:szCs w:val="24"/>
        </w:rPr>
        <w:tab/>
      </w:r>
      <w:r w:rsidR="00273E61">
        <w:rPr>
          <w:sz w:val="24"/>
          <w:szCs w:val="24"/>
        </w:rPr>
        <w:tab/>
      </w:r>
      <w:r w:rsidR="009D2482">
        <w:rPr>
          <w:sz w:val="24"/>
          <w:szCs w:val="24"/>
        </w:rPr>
        <w:t xml:space="preserve">      </w:t>
      </w:r>
      <w:r w:rsidR="00273E61">
        <w:rPr>
          <w:sz w:val="24"/>
          <w:szCs w:val="24"/>
        </w:rPr>
        <w:t>Dagmar Vlachová</w:t>
      </w:r>
    </w:p>
    <w:p w14:paraId="1C452CBD" w14:textId="7F510EF7" w:rsidR="00273E61" w:rsidRDefault="00273E61" w:rsidP="00273E6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místostarosta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D2482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>starostka</w:t>
      </w:r>
    </w:p>
    <w:p w14:paraId="24D21099" w14:textId="77777777" w:rsidR="00632975" w:rsidRDefault="00632975" w:rsidP="00273E61">
      <w:pPr>
        <w:ind w:firstLine="708"/>
        <w:jc w:val="both"/>
        <w:rPr>
          <w:sz w:val="24"/>
          <w:szCs w:val="24"/>
        </w:rPr>
      </w:pPr>
    </w:p>
    <w:sectPr w:rsidR="00632975" w:rsidSect="00962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C0A3E"/>
    <w:multiLevelType w:val="hybridMultilevel"/>
    <w:tmpl w:val="740A22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97263"/>
    <w:multiLevelType w:val="hybridMultilevel"/>
    <w:tmpl w:val="A0820B1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7F5EB5"/>
    <w:multiLevelType w:val="hybridMultilevel"/>
    <w:tmpl w:val="38D0DDC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64291B"/>
    <w:multiLevelType w:val="hybridMultilevel"/>
    <w:tmpl w:val="96AE1A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3271A"/>
    <w:multiLevelType w:val="hybridMultilevel"/>
    <w:tmpl w:val="5CD4AE3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804597"/>
    <w:multiLevelType w:val="hybridMultilevel"/>
    <w:tmpl w:val="4C12E5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2B42F8"/>
    <w:multiLevelType w:val="hybridMultilevel"/>
    <w:tmpl w:val="5E8C77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5392A"/>
    <w:multiLevelType w:val="hybridMultilevel"/>
    <w:tmpl w:val="F8F6A8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C920E5"/>
    <w:multiLevelType w:val="hybridMultilevel"/>
    <w:tmpl w:val="B5E45C6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965DC7"/>
    <w:multiLevelType w:val="hybridMultilevel"/>
    <w:tmpl w:val="EEE2FD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90077C"/>
    <w:multiLevelType w:val="hybridMultilevel"/>
    <w:tmpl w:val="86AC19E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3256F8"/>
    <w:multiLevelType w:val="hybridMultilevel"/>
    <w:tmpl w:val="7D22E9A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8AD5719"/>
    <w:multiLevelType w:val="hybridMultilevel"/>
    <w:tmpl w:val="65ACD52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904122"/>
    <w:multiLevelType w:val="hybridMultilevel"/>
    <w:tmpl w:val="16E6E7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6952BE"/>
    <w:multiLevelType w:val="hybridMultilevel"/>
    <w:tmpl w:val="5938353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862027"/>
    <w:multiLevelType w:val="hybridMultilevel"/>
    <w:tmpl w:val="93F45C3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0CA2791"/>
    <w:multiLevelType w:val="hybridMultilevel"/>
    <w:tmpl w:val="0B5AC7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D12417"/>
    <w:multiLevelType w:val="hybridMultilevel"/>
    <w:tmpl w:val="A18C16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7A64A1"/>
    <w:multiLevelType w:val="hybridMultilevel"/>
    <w:tmpl w:val="E9700C9C"/>
    <w:lvl w:ilvl="0" w:tplc="6CBE4F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DE3562"/>
    <w:multiLevelType w:val="hybridMultilevel"/>
    <w:tmpl w:val="5F5263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D5D72"/>
    <w:multiLevelType w:val="hybridMultilevel"/>
    <w:tmpl w:val="994A208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1235150"/>
    <w:multiLevelType w:val="hybridMultilevel"/>
    <w:tmpl w:val="A53687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527462"/>
    <w:multiLevelType w:val="hybridMultilevel"/>
    <w:tmpl w:val="FF785D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24775307">
    <w:abstractNumId w:val="5"/>
  </w:num>
  <w:num w:numId="2" w16cid:durableId="815298917">
    <w:abstractNumId w:val="2"/>
  </w:num>
  <w:num w:numId="3" w16cid:durableId="2020083318">
    <w:abstractNumId w:val="21"/>
  </w:num>
  <w:num w:numId="4" w16cid:durableId="1149249129">
    <w:abstractNumId w:val="4"/>
  </w:num>
  <w:num w:numId="5" w16cid:durableId="1385640020">
    <w:abstractNumId w:val="19"/>
  </w:num>
  <w:num w:numId="6" w16cid:durableId="693923371">
    <w:abstractNumId w:val="0"/>
  </w:num>
  <w:num w:numId="7" w16cid:durableId="1621838121">
    <w:abstractNumId w:val="12"/>
  </w:num>
  <w:num w:numId="8" w16cid:durableId="1265846924">
    <w:abstractNumId w:val="1"/>
  </w:num>
  <w:num w:numId="9" w16cid:durableId="446701269">
    <w:abstractNumId w:val="15"/>
  </w:num>
  <w:num w:numId="10" w16cid:durableId="2073890390">
    <w:abstractNumId w:val="9"/>
  </w:num>
  <w:num w:numId="11" w16cid:durableId="715079788">
    <w:abstractNumId w:val="20"/>
  </w:num>
  <w:num w:numId="12" w16cid:durableId="1687096382">
    <w:abstractNumId w:val="18"/>
  </w:num>
  <w:num w:numId="13" w16cid:durableId="557477833">
    <w:abstractNumId w:val="14"/>
  </w:num>
  <w:num w:numId="14" w16cid:durableId="1817794376">
    <w:abstractNumId w:val="6"/>
  </w:num>
  <w:num w:numId="15" w16cid:durableId="1412434192">
    <w:abstractNumId w:val="8"/>
  </w:num>
  <w:num w:numId="16" w16cid:durableId="1653020787">
    <w:abstractNumId w:val="22"/>
  </w:num>
  <w:num w:numId="17" w16cid:durableId="1250698940">
    <w:abstractNumId w:val="11"/>
  </w:num>
  <w:num w:numId="18" w16cid:durableId="281692903">
    <w:abstractNumId w:val="3"/>
  </w:num>
  <w:num w:numId="19" w16cid:durableId="2096780547">
    <w:abstractNumId w:val="16"/>
  </w:num>
  <w:num w:numId="20" w16cid:durableId="1458913327">
    <w:abstractNumId w:val="7"/>
  </w:num>
  <w:num w:numId="21" w16cid:durableId="940531733">
    <w:abstractNumId w:val="17"/>
  </w:num>
  <w:num w:numId="22" w16cid:durableId="1569732556">
    <w:abstractNumId w:val="10"/>
  </w:num>
  <w:num w:numId="23" w16cid:durableId="62797717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F88"/>
    <w:rsid w:val="00057F88"/>
    <w:rsid w:val="00064122"/>
    <w:rsid w:val="000B030F"/>
    <w:rsid w:val="000E5C63"/>
    <w:rsid w:val="00167D6E"/>
    <w:rsid w:val="00182FC6"/>
    <w:rsid w:val="001A2524"/>
    <w:rsid w:val="001C4EB7"/>
    <w:rsid w:val="001F3826"/>
    <w:rsid w:val="0022095C"/>
    <w:rsid w:val="00267B4E"/>
    <w:rsid w:val="00273E61"/>
    <w:rsid w:val="002932E0"/>
    <w:rsid w:val="002B0EDF"/>
    <w:rsid w:val="002C4F8D"/>
    <w:rsid w:val="002E51B1"/>
    <w:rsid w:val="003351C3"/>
    <w:rsid w:val="003717A3"/>
    <w:rsid w:val="00393897"/>
    <w:rsid w:val="003C2640"/>
    <w:rsid w:val="003D1094"/>
    <w:rsid w:val="003E71F3"/>
    <w:rsid w:val="00487E21"/>
    <w:rsid w:val="004E01B9"/>
    <w:rsid w:val="004E685D"/>
    <w:rsid w:val="004F7C18"/>
    <w:rsid w:val="00517895"/>
    <w:rsid w:val="005815DD"/>
    <w:rsid w:val="0058299F"/>
    <w:rsid w:val="005E679F"/>
    <w:rsid w:val="00632975"/>
    <w:rsid w:val="00660103"/>
    <w:rsid w:val="00690912"/>
    <w:rsid w:val="00713E8D"/>
    <w:rsid w:val="00777C76"/>
    <w:rsid w:val="0082444A"/>
    <w:rsid w:val="00892C6B"/>
    <w:rsid w:val="008B6F53"/>
    <w:rsid w:val="00945063"/>
    <w:rsid w:val="00962022"/>
    <w:rsid w:val="009A676F"/>
    <w:rsid w:val="009D2482"/>
    <w:rsid w:val="00A16186"/>
    <w:rsid w:val="00A341E4"/>
    <w:rsid w:val="00A5513B"/>
    <w:rsid w:val="00A63339"/>
    <w:rsid w:val="00A766AA"/>
    <w:rsid w:val="00A842AB"/>
    <w:rsid w:val="00A95847"/>
    <w:rsid w:val="00B0026D"/>
    <w:rsid w:val="00B05BD0"/>
    <w:rsid w:val="00B3607F"/>
    <w:rsid w:val="00B72674"/>
    <w:rsid w:val="00BF6DD7"/>
    <w:rsid w:val="00C759A0"/>
    <w:rsid w:val="00CA70D8"/>
    <w:rsid w:val="00CF78AC"/>
    <w:rsid w:val="00D529E3"/>
    <w:rsid w:val="00D5487D"/>
    <w:rsid w:val="00DA784A"/>
    <w:rsid w:val="00DC00D6"/>
    <w:rsid w:val="00DC0A69"/>
    <w:rsid w:val="00DC508A"/>
    <w:rsid w:val="00E54DDA"/>
    <w:rsid w:val="00EC3D10"/>
    <w:rsid w:val="00EC72FD"/>
    <w:rsid w:val="00EE0D47"/>
    <w:rsid w:val="00F1720E"/>
    <w:rsid w:val="00F246BD"/>
    <w:rsid w:val="00F4603A"/>
    <w:rsid w:val="00FA4608"/>
    <w:rsid w:val="00FC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5A27A"/>
  <w15:docId w15:val="{A941CC19-8619-46F6-B38C-31A8DF568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0912"/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909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909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909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9091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9091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9091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9091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9091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9091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09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909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69091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69091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69091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69091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69091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69091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69091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69091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69091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69091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9091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69091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690912"/>
    <w:rPr>
      <w:b/>
      <w:bCs/>
    </w:rPr>
  </w:style>
  <w:style w:type="character" w:styleId="Zdraznn">
    <w:name w:val="Emphasis"/>
    <w:basedOn w:val="Standardnpsmoodstavce"/>
    <w:uiPriority w:val="20"/>
    <w:qFormat/>
    <w:rsid w:val="00690912"/>
    <w:rPr>
      <w:i/>
      <w:iCs/>
    </w:rPr>
  </w:style>
  <w:style w:type="paragraph" w:styleId="Bezmezer">
    <w:name w:val="No Spacing"/>
    <w:uiPriority w:val="1"/>
    <w:qFormat/>
    <w:rsid w:val="0069091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690912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690912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690912"/>
    <w:rPr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9091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90912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690912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690912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690912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690912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690912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9091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14412596-3146-43A9-9341-8F26F8AE9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1036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Dagmar Vlachová</cp:lastModifiedBy>
  <cp:revision>14</cp:revision>
  <cp:lastPrinted>2026-04-15T08:35:00Z</cp:lastPrinted>
  <dcterms:created xsi:type="dcterms:W3CDTF">2026-03-02T13:34:00Z</dcterms:created>
  <dcterms:modified xsi:type="dcterms:W3CDTF">2026-04-15T08:36:00Z</dcterms:modified>
</cp:coreProperties>
</file>